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A47" w:rsidRPr="00BA30CB" w:rsidRDefault="00915A47" w:rsidP="002C6699">
      <w:pPr>
        <w:pStyle w:val="Heading1"/>
        <w:rPr>
          <w:rFonts w:asciiTheme="minorHAnsi" w:hAnsiTheme="minorHAnsi" w:cstheme="minorHAnsi"/>
          <w:color w:val="000000" w:themeColor="text1"/>
        </w:rPr>
      </w:pPr>
      <w:r w:rsidRPr="00BA30CB">
        <w:rPr>
          <w:rFonts w:asciiTheme="minorHAnsi" w:hAnsiTheme="minorHAnsi" w:cstheme="minorHAnsi"/>
          <w:color w:val="000000" w:themeColor="text1"/>
        </w:rPr>
        <w:t>Obrazac Obrazloženja financijskog plana</w:t>
      </w:r>
      <w:r w:rsidR="00B36449" w:rsidRPr="00BA30CB">
        <w:rPr>
          <w:rFonts w:asciiTheme="minorHAnsi" w:hAnsiTheme="minorHAnsi" w:cstheme="minorHAnsi"/>
          <w:color w:val="000000" w:themeColor="text1"/>
        </w:rPr>
        <w:t xml:space="preserve"> za 202</w:t>
      </w:r>
      <w:r w:rsidR="009A443D">
        <w:rPr>
          <w:rFonts w:asciiTheme="minorHAnsi" w:hAnsiTheme="minorHAnsi" w:cstheme="minorHAnsi"/>
          <w:color w:val="000000" w:themeColor="text1"/>
        </w:rPr>
        <w:t>6</w:t>
      </w:r>
      <w:r w:rsidR="00B36449" w:rsidRPr="00BA30CB">
        <w:rPr>
          <w:rFonts w:asciiTheme="minorHAnsi" w:hAnsiTheme="minorHAnsi" w:cstheme="minorHAnsi"/>
          <w:color w:val="000000" w:themeColor="text1"/>
        </w:rPr>
        <w:t>.g.</w:t>
      </w:r>
    </w:p>
    <w:p w:rsidR="00915A47" w:rsidRPr="00BA30CB" w:rsidRDefault="00915A47" w:rsidP="00915A47">
      <w:pPr>
        <w:spacing w:after="0"/>
        <w:rPr>
          <w:rFonts w:cstheme="minorHAnsi"/>
          <w:color w:val="000000" w:themeColor="text1"/>
        </w:rPr>
      </w:pPr>
      <w:r w:rsidRPr="00BA30CB">
        <w:rPr>
          <w:rFonts w:cstheme="minorHAnsi"/>
          <w:color w:val="000000" w:themeColor="text1"/>
        </w:rPr>
        <w:tab/>
      </w:r>
    </w:p>
    <w:p w:rsidR="00915A47" w:rsidRPr="00BA30CB" w:rsidRDefault="00915A47" w:rsidP="00AA085C">
      <w:pPr>
        <w:pStyle w:val="NoSpacing"/>
        <w:rPr>
          <w:rFonts w:cstheme="minorHAnsi"/>
          <w:color w:val="000000" w:themeColor="text1"/>
          <w:sz w:val="24"/>
        </w:rPr>
      </w:pPr>
      <w:r w:rsidRPr="00BA30CB">
        <w:rPr>
          <w:rFonts w:cstheme="minorHAnsi"/>
          <w:color w:val="000000" w:themeColor="text1"/>
          <w:sz w:val="24"/>
        </w:rPr>
        <w:t>NAZIV KORISNIKA</w:t>
      </w:r>
      <w:r w:rsidR="008C1702" w:rsidRPr="00BA30CB">
        <w:rPr>
          <w:rFonts w:cstheme="minorHAnsi"/>
          <w:color w:val="000000" w:themeColor="text1"/>
          <w:sz w:val="24"/>
        </w:rPr>
        <w:t xml:space="preserve">: </w:t>
      </w:r>
      <w:proofErr w:type="gramStart"/>
      <w:r w:rsidR="004372E3" w:rsidRPr="00BA30CB">
        <w:rPr>
          <w:rFonts w:cstheme="minorHAnsi"/>
          <w:color w:val="000000" w:themeColor="text1"/>
          <w:sz w:val="24"/>
        </w:rPr>
        <w:t>XV.GIMNAZIJA</w:t>
      </w:r>
      <w:proofErr w:type="gramEnd"/>
    </w:p>
    <w:p w:rsidR="00856939" w:rsidRPr="00BA30CB" w:rsidRDefault="00856939" w:rsidP="00AA085C">
      <w:pPr>
        <w:pStyle w:val="NoSpacing"/>
        <w:rPr>
          <w:rFonts w:cstheme="minorHAnsi"/>
          <w:color w:val="000000" w:themeColor="text1"/>
          <w:sz w:val="24"/>
        </w:rPr>
      </w:pPr>
      <w:proofErr w:type="spellStart"/>
      <w:r w:rsidRPr="00BA30CB">
        <w:rPr>
          <w:rFonts w:cstheme="minorHAnsi"/>
          <w:color w:val="000000" w:themeColor="text1"/>
          <w:sz w:val="24"/>
        </w:rPr>
        <w:t>Broj</w:t>
      </w:r>
      <w:proofErr w:type="spellEnd"/>
      <w:r w:rsidRPr="00BA30CB">
        <w:rPr>
          <w:rFonts w:cstheme="minorHAnsi"/>
          <w:color w:val="000000" w:themeColor="text1"/>
          <w:sz w:val="24"/>
        </w:rPr>
        <w:t xml:space="preserve"> RKP-a:</w:t>
      </w:r>
      <w:r w:rsidR="008C1702" w:rsidRPr="00BA30CB">
        <w:rPr>
          <w:rFonts w:cstheme="minorHAnsi"/>
          <w:color w:val="000000" w:themeColor="text1"/>
          <w:sz w:val="24"/>
        </w:rPr>
        <w:t xml:space="preserve"> </w:t>
      </w:r>
      <w:r w:rsidRPr="00BA30CB">
        <w:rPr>
          <w:rFonts w:cstheme="minorHAnsi"/>
          <w:color w:val="000000" w:themeColor="text1"/>
          <w:sz w:val="24"/>
        </w:rPr>
        <w:t>16</w:t>
      </w:r>
      <w:r w:rsidR="007A1D45" w:rsidRPr="00BA30CB">
        <w:rPr>
          <w:rFonts w:cstheme="minorHAnsi"/>
          <w:color w:val="000000" w:themeColor="text1"/>
          <w:sz w:val="24"/>
        </w:rPr>
        <w:t>68</w:t>
      </w:r>
      <w:r w:rsidR="00217DAA" w:rsidRPr="00BA30CB">
        <w:rPr>
          <w:rFonts w:cstheme="minorHAnsi"/>
          <w:color w:val="000000" w:themeColor="text1"/>
          <w:sz w:val="24"/>
        </w:rPr>
        <w:t>2</w:t>
      </w:r>
      <w:r w:rsidRPr="00BA30CB">
        <w:rPr>
          <w:rFonts w:cstheme="minorHAnsi"/>
          <w:color w:val="000000" w:themeColor="text1"/>
          <w:sz w:val="24"/>
        </w:rPr>
        <w:tab/>
      </w:r>
      <w:r w:rsidRPr="00BA30CB">
        <w:rPr>
          <w:rFonts w:cstheme="minorHAnsi"/>
          <w:color w:val="000000" w:themeColor="text1"/>
          <w:sz w:val="24"/>
        </w:rPr>
        <w:tab/>
      </w:r>
      <w:r w:rsidRPr="00BA30CB">
        <w:rPr>
          <w:rFonts w:cstheme="minorHAnsi"/>
          <w:color w:val="000000" w:themeColor="text1"/>
          <w:sz w:val="24"/>
        </w:rPr>
        <w:tab/>
      </w:r>
    </w:p>
    <w:p w:rsidR="00856939" w:rsidRPr="00BA30CB" w:rsidRDefault="00856939" w:rsidP="00AA085C">
      <w:pPr>
        <w:pStyle w:val="NoSpacing"/>
        <w:rPr>
          <w:rFonts w:cstheme="minorHAnsi"/>
          <w:color w:val="000000" w:themeColor="text1"/>
          <w:sz w:val="24"/>
        </w:rPr>
      </w:pPr>
      <w:proofErr w:type="spellStart"/>
      <w:r w:rsidRPr="00BA30CB">
        <w:rPr>
          <w:rFonts w:cstheme="minorHAnsi"/>
          <w:color w:val="000000" w:themeColor="text1"/>
          <w:sz w:val="24"/>
        </w:rPr>
        <w:t>Matični</w:t>
      </w:r>
      <w:proofErr w:type="spellEnd"/>
      <w:r w:rsidRPr="00BA30CB">
        <w:rPr>
          <w:rFonts w:cstheme="minorHAnsi"/>
          <w:color w:val="000000" w:themeColor="text1"/>
          <w:sz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</w:rPr>
        <w:t>broj</w:t>
      </w:r>
      <w:proofErr w:type="spellEnd"/>
      <w:r w:rsidRPr="00BA30CB">
        <w:rPr>
          <w:rFonts w:cstheme="minorHAnsi"/>
          <w:color w:val="000000" w:themeColor="text1"/>
          <w:sz w:val="24"/>
        </w:rPr>
        <w:t>:</w:t>
      </w:r>
      <w:r w:rsidR="008C1702" w:rsidRPr="00BA30CB">
        <w:rPr>
          <w:rFonts w:cstheme="minorHAnsi"/>
          <w:color w:val="000000" w:themeColor="text1"/>
          <w:sz w:val="24"/>
        </w:rPr>
        <w:t xml:space="preserve"> </w:t>
      </w:r>
      <w:r w:rsidR="004372E3" w:rsidRPr="00BA30CB">
        <w:rPr>
          <w:rFonts w:cstheme="minorHAnsi"/>
          <w:color w:val="000000" w:themeColor="text1"/>
          <w:sz w:val="24"/>
        </w:rPr>
        <w:t>3237575</w:t>
      </w:r>
      <w:r w:rsidRPr="00BA30CB">
        <w:rPr>
          <w:rFonts w:cstheme="minorHAnsi"/>
          <w:color w:val="000000" w:themeColor="text1"/>
          <w:sz w:val="24"/>
        </w:rPr>
        <w:tab/>
      </w:r>
      <w:r w:rsidRPr="00BA30CB">
        <w:rPr>
          <w:rFonts w:cstheme="minorHAnsi"/>
          <w:color w:val="000000" w:themeColor="text1"/>
          <w:sz w:val="24"/>
        </w:rPr>
        <w:tab/>
      </w:r>
      <w:r w:rsidRPr="00BA30CB">
        <w:rPr>
          <w:rFonts w:cstheme="minorHAnsi"/>
          <w:color w:val="000000" w:themeColor="text1"/>
          <w:sz w:val="24"/>
        </w:rPr>
        <w:tab/>
      </w:r>
      <w:r w:rsidRPr="00BA30CB">
        <w:rPr>
          <w:rFonts w:cstheme="minorHAnsi"/>
          <w:color w:val="000000" w:themeColor="text1"/>
          <w:sz w:val="24"/>
        </w:rPr>
        <w:tab/>
      </w:r>
    </w:p>
    <w:p w:rsidR="00856939" w:rsidRPr="00BA30CB" w:rsidRDefault="00856939" w:rsidP="00AA085C">
      <w:pPr>
        <w:pStyle w:val="NoSpacing"/>
        <w:rPr>
          <w:rFonts w:cstheme="minorHAnsi"/>
          <w:color w:val="000000" w:themeColor="text1"/>
          <w:sz w:val="24"/>
        </w:rPr>
      </w:pPr>
      <w:proofErr w:type="spellStart"/>
      <w:r w:rsidRPr="00BA30CB">
        <w:rPr>
          <w:rFonts w:cstheme="minorHAnsi"/>
          <w:color w:val="000000" w:themeColor="text1"/>
          <w:sz w:val="24"/>
        </w:rPr>
        <w:t>Oznaka</w:t>
      </w:r>
      <w:proofErr w:type="spellEnd"/>
      <w:r w:rsidRPr="00BA30CB">
        <w:rPr>
          <w:rFonts w:cstheme="minorHAnsi"/>
          <w:color w:val="000000" w:themeColor="text1"/>
          <w:sz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</w:rPr>
        <w:t>razine</w:t>
      </w:r>
      <w:proofErr w:type="spellEnd"/>
      <w:r w:rsidR="008C1702" w:rsidRPr="00BA30CB">
        <w:rPr>
          <w:rFonts w:cstheme="minorHAnsi"/>
          <w:color w:val="000000" w:themeColor="text1"/>
          <w:sz w:val="24"/>
        </w:rPr>
        <w:t xml:space="preserve">: </w:t>
      </w:r>
      <w:r w:rsidRPr="00BA30CB">
        <w:rPr>
          <w:rFonts w:cstheme="minorHAnsi"/>
          <w:color w:val="000000" w:themeColor="text1"/>
          <w:sz w:val="24"/>
        </w:rPr>
        <w:t>31</w:t>
      </w:r>
    </w:p>
    <w:p w:rsidR="00856939" w:rsidRPr="00BA30CB" w:rsidRDefault="00856939" w:rsidP="00AA085C">
      <w:pPr>
        <w:pStyle w:val="NoSpacing"/>
        <w:rPr>
          <w:rFonts w:cstheme="minorHAnsi"/>
          <w:color w:val="000000" w:themeColor="text1"/>
          <w:sz w:val="24"/>
        </w:rPr>
      </w:pPr>
      <w:proofErr w:type="spellStart"/>
      <w:r w:rsidRPr="00BA30CB">
        <w:rPr>
          <w:rFonts w:cstheme="minorHAnsi"/>
          <w:color w:val="000000" w:themeColor="text1"/>
          <w:sz w:val="24"/>
        </w:rPr>
        <w:t>Šifra</w:t>
      </w:r>
      <w:proofErr w:type="spellEnd"/>
      <w:r w:rsidRPr="00BA30CB">
        <w:rPr>
          <w:rFonts w:cstheme="minorHAnsi"/>
          <w:color w:val="000000" w:themeColor="text1"/>
          <w:sz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</w:rPr>
        <w:t>djelatnosti</w:t>
      </w:r>
      <w:proofErr w:type="spellEnd"/>
      <w:r w:rsidRPr="00BA30CB">
        <w:rPr>
          <w:rFonts w:cstheme="minorHAnsi"/>
          <w:color w:val="000000" w:themeColor="text1"/>
          <w:sz w:val="24"/>
        </w:rPr>
        <w:t>:</w:t>
      </w:r>
      <w:r w:rsidR="008C1702" w:rsidRPr="00BA30CB">
        <w:rPr>
          <w:rFonts w:cstheme="minorHAnsi"/>
          <w:color w:val="000000" w:themeColor="text1"/>
          <w:sz w:val="24"/>
        </w:rPr>
        <w:t xml:space="preserve"> </w:t>
      </w:r>
      <w:r w:rsidRPr="00BA30CB">
        <w:rPr>
          <w:rFonts w:cstheme="minorHAnsi"/>
          <w:color w:val="000000" w:themeColor="text1"/>
          <w:sz w:val="24"/>
        </w:rPr>
        <w:t>853</w:t>
      </w:r>
      <w:r w:rsidR="00D35621" w:rsidRPr="00BA30CB">
        <w:rPr>
          <w:rFonts w:cstheme="minorHAnsi"/>
          <w:color w:val="000000" w:themeColor="text1"/>
          <w:sz w:val="24"/>
        </w:rPr>
        <w:t>1</w:t>
      </w:r>
    </w:p>
    <w:p w:rsidR="00856939" w:rsidRPr="00BA30CB" w:rsidRDefault="00856939" w:rsidP="00AA085C">
      <w:pPr>
        <w:pStyle w:val="NoSpacing"/>
        <w:rPr>
          <w:rFonts w:cstheme="minorHAnsi"/>
          <w:color w:val="000000" w:themeColor="text1"/>
          <w:sz w:val="24"/>
        </w:rPr>
      </w:pPr>
      <w:proofErr w:type="spellStart"/>
      <w:r w:rsidRPr="00BA30CB">
        <w:rPr>
          <w:rFonts w:cstheme="minorHAnsi"/>
          <w:color w:val="000000" w:themeColor="text1"/>
          <w:sz w:val="24"/>
        </w:rPr>
        <w:t>Šifra</w:t>
      </w:r>
      <w:proofErr w:type="spellEnd"/>
      <w:r w:rsidRPr="00BA30CB">
        <w:rPr>
          <w:rFonts w:cstheme="minorHAnsi"/>
          <w:color w:val="000000" w:themeColor="text1"/>
          <w:sz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</w:rPr>
        <w:t>grada</w:t>
      </w:r>
      <w:proofErr w:type="spellEnd"/>
      <w:r w:rsidRPr="00BA30CB">
        <w:rPr>
          <w:rFonts w:cstheme="minorHAnsi"/>
          <w:color w:val="000000" w:themeColor="text1"/>
          <w:sz w:val="24"/>
        </w:rPr>
        <w:t>:</w:t>
      </w:r>
      <w:r w:rsidR="008C1702" w:rsidRPr="00BA30CB">
        <w:rPr>
          <w:rFonts w:cstheme="minorHAnsi"/>
          <w:color w:val="000000" w:themeColor="text1"/>
          <w:sz w:val="24"/>
        </w:rPr>
        <w:t xml:space="preserve"> </w:t>
      </w:r>
      <w:r w:rsidRPr="00BA30CB">
        <w:rPr>
          <w:rFonts w:cstheme="minorHAnsi"/>
          <w:color w:val="000000" w:themeColor="text1"/>
          <w:sz w:val="24"/>
        </w:rPr>
        <w:t>133</w:t>
      </w:r>
    </w:p>
    <w:p w:rsidR="00856939" w:rsidRPr="00BA30CB" w:rsidRDefault="003E5705" w:rsidP="00AA085C">
      <w:pPr>
        <w:pStyle w:val="NoSpacing"/>
        <w:rPr>
          <w:rFonts w:cstheme="minorHAnsi"/>
          <w:color w:val="000000" w:themeColor="text1"/>
          <w:sz w:val="24"/>
        </w:rPr>
      </w:pPr>
      <w:r w:rsidRPr="00BA30CB">
        <w:rPr>
          <w:rFonts w:cstheme="minorHAnsi"/>
          <w:color w:val="000000" w:themeColor="text1"/>
          <w:sz w:val="24"/>
        </w:rPr>
        <w:t xml:space="preserve">OIB: </w:t>
      </w:r>
      <w:r w:rsidR="004372E3" w:rsidRPr="00BA30CB">
        <w:rPr>
          <w:rFonts w:cstheme="minorHAnsi"/>
          <w:color w:val="000000" w:themeColor="text1"/>
          <w:sz w:val="24"/>
        </w:rPr>
        <w:t>24358183010</w:t>
      </w:r>
    </w:p>
    <w:p w:rsidR="00915A47" w:rsidRPr="00BA30CB" w:rsidRDefault="00915A47" w:rsidP="00AA085C">
      <w:pPr>
        <w:pStyle w:val="NoSpacing"/>
        <w:rPr>
          <w:rFonts w:cstheme="minorHAnsi"/>
          <w:color w:val="000000" w:themeColor="text1"/>
        </w:rPr>
      </w:pPr>
      <w:r w:rsidRPr="00BA30CB">
        <w:rPr>
          <w:rFonts w:cstheme="minorHAnsi"/>
          <w:color w:val="000000" w:themeColor="text1"/>
        </w:rPr>
        <w:tab/>
      </w:r>
    </w:p>
    <w:p w:rsidR="00915A47" w:rsidRPr="00BA30CB" w:rsidRDefault="003E5705" w:rsidP="00017401">
      <w:pPr>
        <w:spacing w:before="120" w:after="120"/>
        <w:rPr>
          <w:rFonts w:cstheme="minorHAnsi"/>
          <w:color w:val="000000" w:themeColor="text1"/>
        </w:rPr>
      </w:pPr>
      <w:r w:rsidRPr="00BA30CB">
        <w:rPr>
          <w:rFonts w:cstheme="minorHAnsi"/>
          <w:b/>
          <w:color w:val="000000" w:themeColor="text1"/>
        </w:rPr>
        <w:t xml:space="preserve">1. </w:t>
      </w:r>
      <w:r w:rsidR="00915A47" w:rsidRPr="00BA30CB">
        <w:rPr>
          <w:rFonts w:cstheme="minorHAnsi"/>
          <w:b/>
          <w:color w:val="000000" w:themeColor="text1"/>
        </w:rPr>
        <w:t>SAŽETAK DJELOKRUGA:</w:t>
      </w:r>
      <w:r w:rsidR="00915A47" w:rsidRPr="00BA30CB">
        <w:rPr>
          <w:rFonts w:cstheme="minorHAnsi"/>
          <w:b/>
          <w:color w:val="000000" w:themeColor="text1"/>
        </w:rPr>
        <w:tab/>
      </w:r>
    </w:p>
    <w:p w:rsidR="00017401" w:rsidRPr="00BA30CB" w:rsidRDefault="004372E3" w:rsidP="00017401">
      <w:pPr>
        <w:pStyle w:val="NoSpacing"/>
        <w:spacing w:before="120" w:after="120"/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</w:pPr>
      <w:r w:rsidRPr="00BA30CB">
        <w:rPr>
          <w:rStyle w:val="Heading1Char"/>
          <w:rFonts w:asciiTheme="minorHAnsi" w:eastAsiaTheme="minorHAnsi" w:hAnsiTheme="minorHAnsi" w:cstheme="minorHAnsi"/>
          <w:b w:val="0"/>
          <w:color w:val="000000" w:themeColor="text1"/>
          <w:szCs w:val="24"/>
          <w:lang w:val="hr-HR"/>
        </w:rPr>
        <w:t>U</w:t>
      </w:r>
      <w:r w:rsidR="00E52C08" w:rsidRPr="00BA30CB">
        <w:rPr>
          <w:rStyle w:val="Heading1Char"/>
          <w:rFonts w:asciiTheme="minorHAnsi" w:eastAsiaTheme="minorHAnsi" w:hAnsiTheme="minorHAnsi" w:cstheme="minorHAnsi"/>
          <w:b w:val="0"/>
          <w:color w:val="000000" w:themeColor="text1"/>
          <w:szCs w:val="24"/>
          <w:lang w:val="hr-HR"/>
        </w:rPr>
        <w:t xml:space="preserve"> </w:t>
      </w:r>
      <w:r w:rsidRPr="00BA30CB">
        <w:rPr>
          <w:rStyle w:val="Heading1Char"/>
          <w:rFonts w:asciiTheme="minorHAnsi" w:eastAsiaTheme="minorHAnsi" w:hAnsiTheme="minorHAnsi" w:cstheme="minorHAnsi"/>
          <w:b w:val="0"/>
          <w:color w:val="000000" w:themeColor="text1"/>
          <w:szCs w:val="24"/>
          <w:lang w:val="hr-HR"/>
        </w:rPr>
        <w:t xml:space="preserve">XV. gimnaziji izvode se dva programa: </w:t>
      </w:r>
      <w:r w:rsidR="00017401"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>p</w:t>
      </w:r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 xml:space="preserve">rogram prirodoslovno-matematičke gimnazije </w:t>
      </w:r>
      <w:r w:rsidR="00017401"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>te p</w:t>
      </w:r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 xml:space="preserve">rogram Međunarodne mature </w:t>
      </w:r>
      <w:r w:rsidR="00017401"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>-  IB program.</w:t>
      </w:r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 xml:space="preserve"> Sjedište Škole je na području područnog ureda Maksimir,</w:t>
      </w:r>
      <w:r w:rsidR="00017401"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 xml:space="preserve"> </w:t>
      </w:r>
      <w:proofErr w:type="spellStart"/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>Jordanovac</w:t>
      </w:r>
      <w:proofErr w:type="spellEnd"/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 xml:space="preserve"> 8.</w:t>
      </w:r>
    </w:p>
    <w:p w:rsidR="00017401" w:rsidRPr="00BA30CB" w:rsidRDefault="004372E3" w:rsidP="00017401">
      <w:pPr>
        <w:pStyle w:val="NoSpacing"/>
        <w:spacing w:before="120" w:after="120"/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</w:pPr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>Površina škole iznosi:</w:t>
      </w:r>
    </w:p>
    <w:p w:rsidR="00017401" w:rsidRPr="00BA30CB" w:rsidRDefault="004372E3" w:rsidP="00017401">
      <w:pPr>
        <w:pStyle w:val="NoSpacing"/>
        <w:numPr>
          <w:ilvl w:val="0"/>
          <w:numId w:val="5"/>
        </w:numPr>
        <w:spacing w:before="120" w:after="120"/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</w:pPr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>školska zgrada: 4 153 m</w:t>
      </w:r>
      <w:r w:rsidRPr="00BA30CB">
        <w:rPr>
          <w:rFonts w:eastAsia="Times New Roman" w:cstheme="minorHAnsi"/>
          <w:color w:val="000000" w:themeColor="text1"/>
          <w:sz w:val="24"/>
          <w:szCs w:val="24"/>
          <w:vertAlign w:val="superscript"/>
          <w:lang w:val="hr-HR" w:eastAsia="hr-HR"/>
        </w:rPr>
        <w:t>2</w:t>
      </w:r>
    </w:p>
    <w:p w:rsidR="00017401" w:rsidRPr="00BA30CB" w:rsidRDefault="004372E3" w:rsidP="00017401">
      <w:pPr>
        <w:pStyle w:val="NoSpacing"/>
        <w:numPr>
          <w:ilvl w:val="0"/>
          <w:numId w:val="5"/>
        </w:numPr>
        <w:spacing w:before="120" w:after="120"/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</w:pPr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>sportska dvorana:   2 562 m</w:t>
      </w:r>
      <w:r w:rsidRPr="00BA30CB">
        <w:rPr>
          <w:rFonts w:eastAsia="Times New Roman" w:cstheme="minorHAnsi"/>
          <w:color w:val="000000" w:themeColor="text1"/>
          <w:sz w:val="24"/>
          <w:szCs w:val="24"/>
          <w:vertAlign w:val="superscript"/>
          <w:lang w:val="hr-HR" w:eastAsia="hr-HR"/>
        </w:rPr>
        <w:t>2</w:t>
      </w:r>
    </w:p>
    <w:p w:rsidR="00017401" w:rsidRPr="00BA30CB" w:rsidRDefault="004372E3" w:rsidP="00017401">
      <w:pPr>
        <w:pStyle w:val="NoSpacing"/>
        <w:numPr>
          <w:ilvl w:val="0"/>
          <w:numId w:val="5"/>
        </w:numPr>
        <w:spacing w:before="120" w:after="120"/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</w:pPr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>vanjski tereni:        11 748 m</w:t>
      </w:r>
      <w:r w:rsidRPr="00BA30CB">
        <w:rPr>
          <w:rFonts w:eastAsia="Times New Roman" w:cstheme="minorHAnsi"/>
          <w:color w:val="000000" w:themeColor="text1"/>
          <w:sz w:val="24"/>
          <w:szCs w:val="24"/>
          <w:vertAlign w:val="superscript"/>
          <w:lang w:val="hr-HR" w:eastAsia="hr-HR"/>
        </w:rPr>
        <w:t>2</w:t>
      </w:r>
    </w:p>
    <w:p w:rsidR="00017401" w:rsidRPr="00BA30CB" w:rsidRDefault="004372E3" w:rsidP="00017401">
      <w:pPr>
        <w:pStyle w:val="NoSpacing"/>
        <w:spacing w:before="120" w:after="120"/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</w:pPr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>Škola radi na jednoj lokaciji i u zgradi posjeduje:</w:t>
      </w:r>
    </w:p>
    <w:p w:rsidR="004372E3" w:rsidRPr="00BA30CB" w:rsidRDefault="004372E3" w:rsidP="00017401">
      <w:pPr>
        <w:pStyle w:val="NoSpacing"/>
        <w:numPr>
          <w:ilvl w:val="0"/>
          <w:numId w:val="6"/>
        </w:numPr>
        <w:spacing w:before="120" w:after="120"/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</w:pPr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>4 kabineta za nastavu informatike</w:t>
      </w:r>
      <w:r w:rsidR="00017401"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 xml:space="preserve"> te</w:t>
      </w:r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 xml:space="preserve"> </w:t>
      </w:r>
      <w:r w:rsidR="00017401"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>1</w:t>
      </w:r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 xml:space="preserve"> kabinet za nastavu matematike opremljen</w:t>
      </w:r>
      <w:r w:rsidR="00017401"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>i</w:t>
      </w:r>
      <w:r w:rsidRPr="00BA30CB">
        <w:rPr>
          <w:rFonts w:eastAsia="Times New Roman" w:cstheme="minorHAnsi"/>
          <w:color w:val="000000" w:themeColor="text1"/>
          <w:sz w:val="24"/>
          <w:szCs w:val="24"/>
          <w:lang w:val="hr-HR" w:eastAsia="hr-HR"/>
        </w:rPr>
        <w:t xml:space="preserve"> računalima; 4 laboratorija za nastavu biologije, kemije i fizike; 5 specijaliziranih učionica za likovnu umjetnost, biologiju, kemiju i fiziku; 30 klasičnih učionica za društvene predmete, matematiku, hrvatski jezik i strane jezike; 8 manjih učionica za nastavu stranih jezika i programa međunarodne mature; knjižnicu; višenamjensku dvoranu; školske sportske dvorane koja se sastoji od jedne velike dvorane, jedne male dvorane, triju nastavničkih kabineta, sanitarnih prostorija i svlačionica te ostalih pomoćnih prostora kao i prostorije potrebne za rukovodno-pedagoško i administrativno-tehničko osoblje.</w:t>
      </w:r>
    </w:p>
    <w:p w:rsidR="00915A47" w:rsidRPr="00BA30CB" w:rsidRDefault="00915A47" w:rsidP="008C1702">
      <w:pPr>
        <w:spacing w:before="12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BA30CB">
        <w:rPr>
          <w:rFonts w:cstheme="minorHAnsi"/>
          <w:color w:val="000000" w:themeColor="text1"/>
        </w:rPr>
        <w:tab/>
      </w:r>
    </w:p>
    <w:p w:rsidR="003E5705" w:rsidRPr="00BA30CB" w:rsidRDefault="00915A47" w:rsidP="00915A47">
      <w:pPr>
        <w:spacing w:after="0"/>
        <w:rPr>
          <w:rFonts w:cstheme="minorHAnsi"/>
          <w:color w:val="000000" w:themeColor="text1"/>
        </w:rPr>
      </w:pPr>
      <w:r w:rsidRPr="00BA30CB">
        <w:rPr>
          <w:rFonts w:cstheme="minorHAnsi"/>
          <w:b/>
          <w:color w:val="000000" w:themeColor="text1"/>
        </w:rPr>
        <w:t>2.  CILJEVI</w:t>
      </w:r>
      <w:r w:rsidRPr="00BA30CB">
        <w:rPr>
          <w:rFonts w:cstheme="minorHAnsi"/>
          <w:color w:val="000000" w:themeColor="text1"/>
        </w:rPr>
        <w:t xml:space="preserve"> </w:t>
      </w:r>
    </w:p>
    <w:p w:rsidR="00915A47" w:rsidRPr="00BA30CB" w:rsidRDefault="00915A47" w:rsidP="003E570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Cilj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017401" w:rsidRPr="00BA30CB">
        <w:rPr>
          <w:rFonts w:cstheme="minorHAnsi"/>
          <w:color w:val="000000" w:themeColor="text1"/>
          <w:sz w:val="24"/>
          <w:szCs w:val="24"/>
        </w:rPr>
        <w:t>Škole</w:t>
      </w:r>
      <w:proofErr w:type="spellEnd"/>
      <w:r w:rsidR="00017401"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r w:rsidRPr="00BA30CB">
        <w:rPr>
          <w:rFonts w:cstheme="minorHAnsi"/>
          <w:color w:val="000000" w:themeColor="text1"/>
          <w:sz w:val="24"/>
          <w:szCs w:val="24"/>
        </w:rPr>
        <w:t xml:space="preserve">je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kroz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kvalitetno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obrazovanje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odgoj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učenika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osigurati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kvalitetu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raznolikost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programa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sukladno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potrebama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interesima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učenika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kao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tržišta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rada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Kroz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stalno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usavršavanje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nastavnika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informatizaciju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laboratorija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sljedeće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tri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godine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nastojati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ćemo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podići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kvalitetu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nastave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na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što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višu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razinu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Učenike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ćemo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poticati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na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izražavanje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kreativnosti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talenata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sposobnosti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kroz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uključivanje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slobodne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aktivnosti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istraživačku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nastavu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natjecanja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te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druge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školske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projekte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priredbi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manifestacija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. 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Poticat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će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se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komunikacija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na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relaciji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učenik-profesor-roditelj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Podupiremo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programe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>/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projekte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vezi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s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korištenjem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sredstava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EU</w:t>
      </w:r>
      <w:r w:rsidR="00017401" w:rsidRPr="00BA30CB">
        <w:rPr>
          <w:rFonts w:cstheme="minorHAnsi"/>
          <w:color w:val="000000" w:themeColor="text1"/>
          <w:sz w:val="24"/>
          <w:szCs w:val="24"/>
        </w:rPr>
        <w:t>.</w:t>
      </w:r>
    </w:p>
    <w:p w:rsidR="00915A47" w:rsidRPr="00BA30CB" w:rsidRDefault="00915A47" w:rsidP="00915A47">
      <w:pPr>
        <w:spacing w:after="0"/>
        <w:rPr>
          <w:rFonts w:cstheme="minorHAnsi"/>
          <w:color w:val="000000" w:themeColor="text1"/>
        </w:rPr>
      </w:pPr>
      <w:r w:rsidRPr="00BA30CB">
        <w:rPr>
          <w:rFonts w:cstheme="minorHAnsi"/>
          <w:color w:val="000000" w:themeColor="text1"/>
        </w:rPr>
        <w:tab/>
      </w:r>
      <w:r w:rsidRPr="00BA30CB">
        <w:rPr>
          <w:rFonts w:cstheme="minorHAnsi"/>
          <w:color w:val="000000" w:themeColor="text1"/>
        </w:rPr>
        <w:tab/>
      </w:r>
    </w:p>
    <w:p w:rsidR="003E5705" w:rsidRPr="00BA30CB" w:rsidRDefault="00915A47" w:rsidP="00915A47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BA30CB">
        <w:rPr>
          <w:rFonts w:cstheme="minorHAnsi"/>
          <w:b/>
          <w:color w:val="000000" w:themeColor="text1"/>
          <w:sz w:val="24"/>
          <w:szCs w:val="24"/>
        </w:rPr>
        <w:t>3. NAČIN OSTVARENJA CILJA</w:t>
      </w:r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3E5705" w:rsidRPr="00BA30CB" w:rsidRDefault="003E5705" w:rsidP="003E570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:rsidR="00915A47" w:rsidRPr="00BA30CB" w:rsidRDefault="00915A47" w:rsidP="003E5705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lastRenderedPageBreak/>
        <w:t>Programe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provode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nastavnici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uz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pomoć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stručnih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suradnika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podršku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tehničko</w:t>
      </w:r>
      <w:r w:rsidR="008C1702" w:rsidRPr="00BA30CB">
        <w:rPr>
          <w:rFonts w:cstheme="minorHAnsi"/>
          <w:color w:val="000000" w:themeColor="text1"/>
          <w:sz w:val="24"/>
          <w:szCs w:val="24"/>
        </w:rPr>
        <w:t>-</w:t>
      </w:r>
      <w:r w:rsidRPr="00BA30CB">
        <w:rPr>
          <w:rFonts w:cstheme="minorHAnsi"/>
          <w:color w:val="000000" w:themeColor="text1"/>
          <w:sz w:val="24"/>
          <w:szCs w:val="24"/>
        </w:rPr>
        <w:t>administrativne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službe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Korisnici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usluga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učenici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koji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kroz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pohađanje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redovne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nastave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ali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izvannastavnih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aktivnosti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sudjeluju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procesu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odgoja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obrazovanja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stječu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kompetencije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potrebne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daljnje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školovanje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ili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izlazak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na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tržište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rada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Usavršavanje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A30CB">
        <w:rPr>
          <w:rFonts w:cstheme="minorHAnsi"/>
          <w:color w:val="000000" w:themeColor="text1"/>
          <w:sz w:val="24"/>
          <w:szCs w:val="24"/>
        </w:rPr>
        <w:t>nastavnika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provodi</w:t>
      </w:r>
      <w:proofErr w:type="spellEnd"/>
      <w:proofErr w:type="gramEnd"/>
      <w:r w:rsidRPr="00BA30CB">
        <w:rPr>
          <w:rFonts w:cstheme="minorHAnsi"/>
          <w:color w:val="000000" w:themeColor="text1"/>
          <w:sz w:val="24"/>
          <w:szCs w:val="24"/>
        </w:rPr>
        <w:t xml:space="preserve"> se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kroz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razne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seminare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stručne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skupove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aktive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ali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kroz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projekte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financirane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iz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Europske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unije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kojima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sudjeluje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Kvalitetno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obrazovanje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razvoj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raznih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vještina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kod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učenika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postiže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se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kroz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organiziranje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natjecanja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priredbi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manifestacija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projekata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Učenici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se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mogu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uključiti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="008C1702" w:rsidRPr="00BA30CB">
        <w:rPr>
          <w:rFonts w:cstheme="minorHAnsi"/>
          <w:color w:val="000000" w:themeColor="text1"/>
          <w:sz w:val="24"/>
          <w:szCs w:val="24"/>
        </w:rPr>
        <w:t>razne</w:t>
      </w:r>
      <w:proofErr w:type="spellEnd"/>
      <w:r w:rsidR="008C1702"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C1702" w:rsidRPr="00BA30CB">
        <w:rPr>
          <w:rFonts w:cstheme="minorHAnsi"/>
          <w:color w:val="000000" w:themeColor="text1"/>
          <w:sz w:val="24"/>
          <w:szCs w:val="24"/>
        </w:rPr>
        <w:t>aktivnosti</w:t>
      </w:r>
      <w:proofErr w:type="spellEnd"/>
      <w:r w:rsidR="008C1702"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C1702" w:rsidRPr="00BA30CB">
        <w:rPr>
          <w:rFonts w:cstheme="minorHAnsi"/>
          <w:color w:val="000000" w:themeColor="text1"/>
          <w:sz w:val="24"/>
          <w:szCs w:val="24"/>
        </w:rPr>
        <w:t>definirane</w:t>
      </w:r>
      <w:proofErr w:type="spellEnd"/>
      <w:r w:rsidR="008C1702"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C1702" w:rsidRPr="00BA30CB">
        <w:rPr>
          <w:rFonts w:cstheme="minorHAnsi"/>
          <w:color w:val="000000" w:themeColor="text1"/>
          <w:sz w:val="24"/>
          <w:szCs w:val="24"/>
        </w:rPr>
        <w:t>Kurikulumum</w:t>
      </w:r>
      <w:proofErr w:type="spellEnd"/>
      <w:r w:rsidR="008C1702"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C1702" w:rsidRPr="00BA30CB">
        <w:rPr>
          <w:rFonts w:cstheme="minorHAnsi"/>
          <w:color w:val="000000" w:themeColor="text1"/>
          <w:sz w:val="24"/>
          <w:szCs w:val="24"/>
        </w:rPr>
        <w:t>Škole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>.</w:t>
      </w:r>
    </w:p>
    <w:p w:rsidR="00915A47" w:rsidRPr="00BA30CB" w:rsidRDefault="00915A47" w:rsidP="00915A47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BA30CB">
        <w:rPr>
          <w:rFonts w:cstheme="minorHAnsi"/>
          <w:color w:val="000000" w:themeColor="text1"/>
          <w:sz w:val="24"/>
          <w:szCs w:val="24"/>
        </w:rPr>
        <w:tab/>
      </w:r>
      <w:r w:rsidRPr="00BA30CB">
        <w:rPr>
          <w:rFonts w:cstheme="minorHAnsi"/>
          <w:color w:val="000000" w:themeColor="text1"/>
          <w:sz w:val="24"/>
          <w:szCs w:val="24"/>
        </w:rPr>
        <w:tab/>
      </w:r>
    </w:p>
    <w:p w:rsidR="003E5705" w:rsidRPr="00BA30CB" w:rsidRDefault="00915A47" w:rsidP="00915A47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A30CB">
        <w:rPr>
          <w:rFonts w:cstheme="minorHAnsi"/>
          <w:b/>
          <w:color w:val="000000" w:themeColor="text1"/>
          <w:sz w:val="24"/>
          <w:szCs w:val="24"/>
        </w:rPr>
        <w:t>4. ZAKONSKE I DRUGE PODLOGE NA KOJIMA SE ZASNIVA PROGRAM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F83830" w:rsidRPr="00F83830" w:rsidTr="00147227">
        <w:trPr>
          <w:trHeight w:val="537"/>
        </w:trPr>
        <w:tc>
          <w:tcPr>
            <w:tcW w:w="8647" w:type="dxa"/>
            <w:vMerge w:val="restart"/>
            <w:shd w:val="clear" w:color="auto" w:fill="auto"/>
            <w:hideMark/>
          </w:tcPr>
          <w:p w:rsidR="0054135D" w:rsidRPr="00EA28C8" w:rsidRDefault="00386399" w:rsidP="00DA04E2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</w:rPr>
            </w:pPr>
            <w:r w:rsidRPr="00EA28C8">
              <w:rPr>
                <w:rFonts w:cstheme="minorHAnsi"/>
              </w:rPr>
              <w:t xml:space="preserve">Zakon o </w:t>
            </w:r>
            <w:r w:rsidR="0054135D" w:rsidRPr="00EA28C8">
              <w:rPr>
                <w:rFonts w:cstheme="minorHAnsi"/>
              </w:rPr>
              <w:t>proračunu NN 114/21 i vlastitim procjenama,</w:t>
            </w:r>
            <w:r w:rsidR="006658F0" w:rsidRPr="00EA28C8">
              <w:rPr>
                <w:rFonts w:cstheme="minorHAnsi"/>
              </w:rPr>
              <w:t xml:space="preserve"> </w:t>
            </w:r>
            <w:r w:rsidR="0054135D" w:rsidRPr="00EA28C8">
              <w:rPr>
                <w:rFonts w:cstheme="minorHAnsi"/>
              </w:rPr>
              <w:t>na temelju kojih GU izrađuje.</w:t>
            </w:r>
          </w:p>
          <w:p w:rsidR="0054135D" w:rsidRPr="00EA28C8" w:rsidRDefault="0054135D" w:rsidP="00DA04E2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</w:rPr>
            </w:pPr>
            <w:r w:rsidRPr="00EA28C8">
              <w:rPr>
                <w:rFonts w:cstheme="minorHAnsi"/>
              </w:rPr>
              <w:t>Upute za izradu i dostavu prijedloga financijskih planova za razdoblje 2026.-2028.</w:t>
            </w:r>
          </w:p>
          <w:p w:rsidR="0054135D" w:rsidRPr="00EA28C8" w:rsidRDefault="0054135D" w:rsidP="00DA04E2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</w:rPr>
            </w:pPr>
          </w:p>
          <w:p w:rsidR="00FB2CBA" w:rsidRPr="00EA28C8" w:rsidRDefault="0054135D" w:rsidP="00DA04E2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</w:rPr>
            </w:pPr>
            <w:r w:rsidRPr="00EA28C8">
              <w:rPr>
                <w:rFonts w:cstheme="minorHAnsi"/>
              </w:rPr>
              <w:t>Novi zakonodavni okvir za planiranje obuhvać</w:t>
            </w:r>
            <w:r w:rsidR="002E5CB7" w:rsidRPr="00EA28C8">
              <w:rPr>
                <w:rFonts w:cstheme="minorHAnsi"/>
              </w:rPr>
              <w:t>a</w:t>
            </w:r>
            <w:r w:rsidRPr="00EA28C8">
              <w:rPr>
                <w:rFonts w:cstheme="minorHAnsi"/>
              </w:rPr>
              <w:t xml:space="preserve"> sljedeće</w:t>
            </w:r>
            <w:r w:rsidR="00FB2CBA" w:rsidRPr="00EA28C8">
              <w:rPr>
                <w:rFonts w:cstheme="minorHAnsi"/>
              </w:rPr>
              <w:t>:</w:t>
            </w:r>
          </w:p>
          <w:p w:rsidR="002E5CB7" w:rsidRPr="00EA28C8" w:rsidRDefault="002E5CB7" w:rsidP="002E5CB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u w:val="single"/>
              </w:rPr>
            </w:pPr>
            <w:r w:rsidRPr="00EA28C8">
              <w:rPr>
                <w:rFonts w:ascii="Arial" w:hAnsi="Arial" w:cs="Arial"/>
              </w:rPr>
              <w:t>Pravilnik o planiranju u sustavu proračuna (Narodne novine 1/24)</w:t>
            </w:r>
          </w:p>
          <w:p w:rsidR="002E5CB7" w:rsidRPr="00EA28C8" w:rsidRDefault="002E5CB7" w:rsidP="002E5CB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u w:val="single"/>
              </w:rPr>
            </w:pPr>
            <w:r w:rsidRPr="00EA28C8">
              <w:rPr>
                <w:rFonts w:ascii="Arial" w:hAnsi="Arial" w:cs="Arial"/>
              </w:rPr>
              <w:t>Pravilnik o proračunskim klasifikacijama (Narodne novine 4/24)</w:t>
            </w:r>
          </w:p>
          <w:p w:rsidR="002E5CB7" w:rsidRPr="00EA28C8" w:rsidRDefault="002E5CB7" w:rsidP="002E5CB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u w:val="single"/>
              </w:rPr>
            </w:pPr>
            <w:r w:rsidRPr="00EA28C8">
              <w:rPr>
                <w:rFonts w:ascii="Arial" w:hAnsi="Arial" w:cs="Arial"/>
              </w:rPr>
              <w:t>Pravilnik o proračunskom računovodstvu i računskom planu (Narodne novine 158/23)</w:t>
            </w:r>
          </w:p>
          <w:p w:rsidR="002E5CB7" w:rsidRPr="00EA28C8" w:rsidRDefault="002E5CB7" w:rsidP="002E5CB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u w:val="single"/>
              </w:rPr>
            </w:pPr>
            <w:r w:rsidRPr="00EA28C8">
              <w:rPr>
                <w:rFonts w:ascii="Arial" w:hAnsi="Arial" w:cs="Arial"/>
              </w:rPr>
              <w:t>Pravilnik o korištenju sredstava Europske unije (Narodne novine 44/24)</w:t>
            </w:r>
          </w:p>
          <w:p w:rsidR="006658F0" w:rsidRPr="00EA28C8" w:rsidRDefault="006658F0" w:rsidP="006658F0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</w:rPr>
            </w:pPr>
            <w:r w:rsidRPr="00EA28C8">
              <w:rPr>
                <w:rFonts w:cstheme="minorHAnsi"/>
              </w:rPr>
              <w:t>Pravilnik o planiranju u sustavu proračuna NN 1/24,Zakon o proračuni NN144/21</w:t>
            </w:r>
            <w:r w:rsidR="0054135D" w:rsidRPr="00EA28C8">
              <w:rPr>
                <w:rFonts w:cstheme="minorHAnsi"/>
              </w:rPr>
              <w:t xml:space="preserve"> </w:t>
            </w:r>
            <w:r w:rsidRPr="00EA28C8">
              <w:rPr>
                <w:rFonts w:cstheme="minorHAnsi"/>
              </w:rPr>
              <w:t>Pravilnik o proračunskim klasifikacijama (NN 4/24 i 122/25</w:t>
            </w:r>
            <w:r w:rsidRPr="00EA28C8">
              <w:rPr>
                <w:rFonts w:cstheme="minorHAnsi"/>
              </w:rPr>
              <w:t xml:space="preserve">, </w:t>
            </w:r>
            <w:r w:rsidRPr="00EA28C8">
              <w:rPr>
                <w:rFonts w:cstheme="minorHAnsi"/>
              </w:rPr>
              <w:t>Pravilnik o proračunskom računovodstvu i računskom planu (NN 158/23</w:t>
            </w:r>
            <w:r w:rsidRPr="00EA28C8">
              <w:rPr>
                <w:rFonts w:cstheme="minorHAnsi"/>
              </w:rPr>
              <w:t xml:space="preserve"> i 154/24, </w:t>
            </w:r>
            <w:r w:rsidRPr="00EA28C8">
              <w:rPr>
                <w:rFonts w:cstheme="minorHAnsi"/>
              </w:rPr>
              <w:t>Pravilnikom o planiranju u sustavu proračuna NN 1/24</w:t>
            </w:r>
            <w:r w:rsidRPr="00EA28C8">
              <w:rPr>
                <w:rFonts w:cstheme="minorHAnsi"/>
              </w:rPr>
              <w:t xml:space="preserve"> </w:t>
            </w:r>
            <w:r w:rsidRPr="00EA28C8">
              <w:rPr>
                <w:rFonts w:cstheme="minorHAnsi"/>
              </w:rPr>
              <w:t>Pravilnikom o korištenju sredstava Europske unije NN 44/24</w:t>
            </w:r>
          </w:p>
          <w:p w:rsidR="0054135D" w:rsidRPr="00EA28C8" w:rsidRDefault="00CD3331" w:rsidP="006658F0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</w:rPr>
            </w:pPr>
            <w:r w:rsidRPr="00EA28C8">
              <w:rPr>
                <w:rFonts w:cstheme="minorHAnsi"/>
              </w:rPr>
              <w:t>t</w:t>
            </w:r>
            <w:r w:rsidR="006658F0" w:rsidRPr="00EA28C8">
              <w:rPr>
                <w:rFonts w:cstheme="minorHAnsi"/>
              </w:rPr>
              <w:t>e Uredbom o načinu ocjene i postupku odobravanja investicijskih projekata NN 158/23</w:t>
            </w:r>
          </w:p>
          <w:p w:rsidR="006658F0" w:rsidRPr="00EA28C8" w:rsidRDefault="006658F0" w:rsidP="006658F0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</w:rPr>
            </w:pPr>
          </w:p>
          <w:p w:rsidR="00386399" w:rsidRPr="00EA28C8" w:rsidRDefault="00386399" w:rsidP="00C17ED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hr-HR" w:eastAsia="hr-HR"/>
              </w:rPr>
            </w:pPr>
          </w:p>
        </w:tc>
      </w:tr>
      <w:tr w:rsidR="00BA30CB" w:rsidRPr="00BA30CB" w:rsidTr="00147227">
        <w:trPr>
          <w:trHeight w:val="537"/>
        </w:trPr>
        <w:tc>
          <w:tcPr>
            <w:tcW w:w="8647" w:type="dxa"/>
            <w:vMerge/>
            <w:vAlign w:val="center"/>
            <w:hideMark/>
          </w:tcPr>
          <w:p w:rsidR="00386399" w:rsidRPr="00BA30CB" w:rsidRDefault="00386399" w:rsidP="0038639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hr-HR" w:eastAsia="hr-HR"/>
              </w:rPr>
            </w:pPr>
          </w:p>
        </w:tc>
      </w:tr>
      <w:tr w:rsidR="00BA30CB" w:rsidRPr="00BA30CB" w:rsidTr="00147227">
        <w:trPr>
          <w:trHeight w:val="537"/>
        </w:trPr>
        <w:tc>
          <w:tcPr>
            <w:tcW w:w="8647" w:type="dxa"/>
            <w:vMerge/>
            <w:vAlign w:val="center"/>
            <w:hideMark/>
          </w:tcPr>
          <w:p w:rsidR="00386399" w:rsidRPr="00BA30CB" w:rsidRDefault="00386399" w:rsidP="0038639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hr-HR" w:eastAsia="hr-HR"/>
              </w:rPr>
            </w:pPr>
          </w:p>
        </w:tc>
      </w:tr>
      <w:tr w:rsidR="00BA30CB" w:rsidRPr="00BA30CB" w:rsidTr="00147227">
        <w:trPr>
          <w:trHeight w:val="2040"/>
        </w:trPr>
        <w:tc>
          <w:tcPr>
            <w:tcW w:w="8647" w:type="dxa"/>
            <w:vMerge/>
            <w:vAlign w:val="center"/>
            <w:hideMark/>
          </w:tcPr>
          <w:p w:rsidR="00386399" w:rsidRPr="00BA30CB" w:rsidRDefault="00386399" w:rsidP="0038639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hr-HR" w:eastAsia="hr-HR"/>
              </w:rPr>
            </w:pPr>
          </w:p>
        </w:tc>
      </w:tr>
    </w:tbl>
    <w:p w:rsidR="00580DEC" w:rsidRPr="00BA30CB" w:rsidRDefault="00C17EDD" w:rsidP="00580DEC">
      <w:pPr>
        <w:spacing w:after="0"/>
        <w:rPr>
          <w:rFonts w:cstheme="minorHAnsi"/>
          <w:b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b/>
          <w:color w:val="000000" w:themeColor="text1"/>
          <w:sz w:val="24"/>
          <w:szCs w:val="24"/>
          <w:lang w:val="hr-HR"/>
        </w:rPr>
        <w:t>5. I</w:t>
      </w:r>
      <w:r w:rsidR="00580DEC" w:rsidRPr="00BA30CB">
        <w:rPr>
          <w:rFonts w:cstheme="minorHAnsi"/>
          <w:b/>
          <w:color w:val="000000" w:themeColor="text1"/>
          <w:sz w:val="24"/>
          <w:szCs w:val="24"/>
          <w:lang w:val="hr-HR"/>
        </w:rPr>
        <w:t>SHODIŠTA I POKAZATELJI NA KOJIMA SE ZASNIVAJU IZRAČUNI I OCJENE POTREBNIH SREDSTAVA  ZA PROVOĐENJE PROGRAMA</w:t>
      </w:r>
    </w:p>
    <w:p w:rsidR="00580DEC" w:rsidRPr="00BA30CB" w:rsidRDefault="00580DEC" w:rsidP="00580DEC">
      <w:pPr>
        <w:spacing w:after="0"/>
        <w:rPr>
          <w:rFonts w:cstheme="minorHAnsi"/>
          <w:b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b/>
          <w:color w:val="000000" w:themeColor="text1"/>
          <w:sz w:val="24"/>
          <w:szCs w:val="24"/>
          <w:lang w:val="hr-HR"/>
        </w:rPr>
        <w:t>Izvori sredstava za financiranje rada su:</w:t>
      </w:r>
    </w:p>
    <w:p w:rsidR="00580DEC" w:rsidRDefault="00580DEC" w:rsidP="00C17EDD">
      <w:pPr>
        <w:numPr>
          <w:ilvl w:val="0"/>
          <w:numId w:val="2"/>
        </w:numPr>
        <w:spacing w:after="0"/>
        <w:jc w:val="both"/>
        <w:rPr>
          <w:rFonts w:cstheme="minorHAnsi"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color w:val="000000" w:themeColor="text1"/>
          <w:sz w:val="24"/>
          <w:szCs w:val="24"/>
          <w:lang w:val="hr-HR"/>
        </w:rPr>
        <w:t>Opći prihodi i primitci, skupina 6</w:t>
      </w:r>
      <w:r w:rsidR="00FF7646" w:rsidRPr="00BA30CB">
        <w:rPr>
          <w:rFonts w:cstheme="minorHAnsi"/>
          <w:color w:val="000000" w:themeColor="text1"/>
          <w:sz w:val="24"/>
          <w:szCs w:val="24"/>
          <w:lang w:val="hr-HR"/>
        </w:rPr>
        <w:t>36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>, državni proračun za financiranje rada zaposlenih radnika;</w:t>
      </w:r>
    </w:p>
    <w:p w:rsidR="006349B6" w:rsidRPr="00BA30CB" w:rsidRDefault="000156CC" w:rsidP="00C17EDD">
      <w:pPr>
        <w:numPr>
          <w:ilvl w:val="0"/>
          <w:numId w:val="2"/>
        </w:numPr>
        <w:spacing w:after="0"/>
        <w:jc w:val="both"/>
        <w:rPr>
          <w:rFonts w:cstheme="minorHAnsi"/>
          <w:color w:val="000000" w:themeColor="text1"/>
          <w:sz w:val="24"/>
          <w:szCs w:val="24"/>
          <w:lang w:val="hr-HR"/>
        </w:rPr>
      </w:pPr>
      <w:r>
        <w:rPr>
          <w:rFonts w:cstheme="minorHAnsi"/>
          <w:color w:val="000000" w:themeColor="text1"/>
          <w:sz w:val="24"/>
          <w:szCs w:val="24"/>
          <w:lang w:val="hr-HR"/>
        </w:rPr>
        <w:t xml:space="preserve">Prihodi </w:t>
      </w:r>
      <w:r w:rsidR="005E54BD">
        <w:rPr>
          <w:rFonts w:cstheme="minorHAnsi"/>
          <w:color w:val="000000" w:themeColor="text1"/>
          <w:sz w:val="24"/>
          <w:szCs w:val="24"/>
          <w:lang w:val="hr-HR"/>
        </w:rPr>
        <w:t>temeljem pomoći</w:t>
      </w:r>
      <w:r>
        <w:rPr>
          <w:rFonts w:cstheme="minorHAnsi"/>
          <w:color w:val="000000" w:themeColor="text1"/>
          <w:sz w:val="24"/>
          <w:szCs w:val="24"/>
          <w:lang w:val="hr-HR"/>
        </w:rPr>
        <w:t xml:space="preserve"> EU, </w:t>
      </w:r>
      <w:r w:rsidR="005D5CD4">
        <w:rPr>
          <w:rFonts w:cstheme="minorHAnsi"/>
          <w:color w:val="000000" w:themeColor="text1"/>
          <w:sz w:val="24"/>
          <w:szCs w:val="24"/>
          <w:lang w:val="hr-HR"/>
        </w:rPr>
        <w:t xml:space="preserve">unutar </w:t>
      </w:r>
      <w:r>
        <w:rPr>
          <w:rFonts w:cstheme="minorHAnsi"/>
          <w:color w:val="000000" w:themeColor="text1"/>
          <w:sz w:val="24"/>
          <w:szCs w:val="24"/>
          <w:lang w:val="hr-HR"/>
        </w:rPr>
        <w:t>skupina 638</w:t>
      </w:r>
    </w:p>
    <w:p w:rsidR="00580DEC" w:rsidRPr="00BA30CB" w:rsidRDefault="00580DEC" w:rsidP="00C17EDD">
      <w:pPr>
        <w:numPr>
          <w:ilvl w:val="0"/>
          <w:numId w:val="2"/>
        </w:numPr>
        <w:spacing w:after="0"/>
        <w:jc w:val="both"/>
        <w:rPr>
          <w:rFonts w:cstheme="minorHAnsi"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Opći prihodi i primitci, skupina 671, </w:t>
      </w:r>
      <w:r w:rsidR="009A443D">
        <w:rPr>
          <w:rFonts w:cstheme="minorHAnsi"/>
          <w:color w:val="000000" w:themeColor="text1"/>
          <w:sz w:val="24"/>
          <w:szCs w:val="24"/>
          <w:lang w:val="hr-HR"/>
        </w:rPr>
        <w:t>gradski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proračun za materijalne troškove poslovanja te održavanje i obnovu nefinancijske imovine</w:t>
      </w:r>
      <w:r w:rsidR="003C38A2" w:rsidRPr="00BA30CB">
        <w:rPr>
          <w:rFonts w:cstheme="minorHAnsi"/>
          <w:color w:val="000000" w:themeColor="text1"/>
          <w:sz w:val="24"/>
          <w:szCs w:val="24"/>
          <w:lang w:val="hr-HR"/>
        </w:rPr>
        <w:t>- decentralizirana sredstva i pojačani standard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>;</w:t>
      </w:r>
    </w:p>
    <w:p w:rsidR="00580DEC" w:rsidRPr="00BA30CB" w:rsidRDefault="00580DEC" w:rsidP="00C17EDD">
      <w:pPr>
        <w:numPr>
          <w:ilvl w:val="0"/>
          <w:numId w:val="2"/>
        </w:numPr>
        <w:spacing w:after="0"/>
        <w:jc w:val="both"/>
        <w:rPr>
          <w:rFonts w:cstheme="minorHAnsi"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Vlastiti prihodi od iznajmljivanja prostora, skupina 661, za provedbu dodatnih aktivnosti škole prema Planu i programu rada te obnovu nefinancijske imovine; </w:t>
      </w:r>
    </w:p>
    <w:p w:rsidR="00D84AAC" w:rsidRPr="00BA30CB" w:rsidRDefault="00580DEC" w:rsidP="00C17EDD">
      <w:pPr>
        <w:numPr>
          <w:ilvl w:val="0"/>
          <w:numId w:val="2"/>
        </w:numPr>
        <w:spacing w:after="0"/>
        <w:jc w:val="both"/>
        <w:rPr>
          <w:rFonts w:cstheme="minorHAnsi"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color w:val="000000" w:themeColor="text1"/>
          <w:sz w:val="24"/>
          <w:szCs w:val="24"/>
          <w:lang w:val="hr-HR"/>
        </w:rPr>
        <w:t>Prihodi po posebnim propisima sastoje se od prihoda od sufinanciranja</w:t>
      </w:r>
      <w:r w:rsidR="00FF7646" w:rsidRPr="00BA30CB">
        <w:rPr>
          <w:rFonts w:cstheme="minorHAnsi"/>
          <w:color w:val="000000" w:themeColor="text1"/>
          <w:sz w:val="24"/>
          <w:szCs w:val="24"/>
          <w:lang w:val="hr-HR"/>
        </w:rPr>
        <w:t>: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 uplate roditelja za </w:t>
      </w:r>
      <w:r w:rsidR="00E93DAF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školarine 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provedbu </w:t>
      </w:r>
      <w:r w:rsidR="00E93DAF" w:rsidRPr="00BA30CB">
        <w:rPr>
          <w:rFonts w:cstheme="minorHAnsi"/>
          <w:color w:val="000000" w:themeColor="text1"/>
          <w:sz w:val="24"/>
          <w:szCs w:val="24"/>
          <w:lang w:val="hr-HR"/>
        </w:rPr>
        <w:t>Međunarodne mature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>,  prihod</w:t>
      </w:r>
      <w:r w:rsidR="00FF7646" w:rsidRPr="00BA30CB">
        <w:rPr>
          <w:rFonts w:cstheme="minorHAnsi"/>
          <w:color w:val="000000" w:themeColor="text1"/>
          <w:sz w:val="24"/>
          <w:szCs w:val="24"/>
          <w:lang w:val="hr-HR"/>
        </w:rPr>
        <w:t>i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</w:t>
      </w:r>
      <w:r w:rsidR="00FF7646" w:rsidRPr="00BA30CB">
        <w:rPr>
          <w:rFonts w:cstheme="minorHAnsi"/>
          <w:color w:val="000000" w:themeColor="text1"/>
          <w:sz w:val="24"/>
          <w:szCs w:val="24"/>
          <w:lang w:val="hr-HR"/>
        </w:rPr>
        <w:t>za sufinanciranje izleta, uplate za  stručne ispite, koji se održavaju u našoj školi</w:t>
      </w:r>
      <w:r w:rsidR="00D84AAC" w:rsidRPr="00BA30CB">
        <w:rPr>
          <w:rFonts w:cstheme="minorHAnsi"/>
          <w:color w:val="000000" w:themeColor="text1"/>
          <w:sz w:val="24"/>
          <w:szCs w:val="24"/>
          <w:lang w:val="hr-HR"/>
        </w:rPr>
        <w:t>.</w:t>
      </w:r>
    </w:p>
    <w:p w:rsidR="00580DEC" w:rsidRPr="00BA30CB" w:rsidRDefault="00580DEC" w:rsidP="00C17EDD">
      <w:pPr>
        <w:numPr>
          <w:ilvl w:val="0"/>
          <w:numId w:val="2"/>
        </w:numPr>
        <w:spacing w:after="0"/>
        <w:jc w:val="both"/>
        <w:rPr>
          <w:rFonts w:cstheme="minorHAnsi"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color w:val="000000" w:themeColor="text1"/>
          <w:sz w:val="24"/>
          <w:szCs w:val="24"/>
          <w:lang w:val="hr-HR"/>
        </w:rPr>
        <w:t>Donacije – strogo namjenska sredstva za održavanje i poboljšanje učeničkog standarda.</w:t>
      </w:r>
    </w:p>
    <w:p w:rsidR="00580DEC" w:rsidRPr="00BA30CB" w:rsidRDefault="00580DEC" w:rsidP="00580DEC">
      <w:pPr>
        <w:spacing w:after="0"/>
        <w:rPr>
          <w:rFonts w:cstheme="minorHAnsi"/>
          <w:color w:val="000000" w:themeColor="text1"/>
          <w:sz w:val="24"/>
          <w:szCs w:val="24"/>
          <w:lang w:val="hr-HR"/>
        </w:rPr>
      </w:pPr>
    </w:p>
    <w:p w:rsidR="00580DEC" w:rsidRPr="00BA30CB" w:rsidRDefault="00580DEC" w:rsidP="00580DEC">
      <w:pPr>
        <w:spacing w:after="0"/>
        <w:rPr>
          <w:rFonts w:cstheme="minorHAnsi"/>
          <w:b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Prihodi iz državnoga proračuna </w:t>
      </w:r>
    </w:p>
    <w:p w:rsidR="00D82742" w:rsidRDefault="00580DEC" w:rsidP="00C17EDD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color w:val="000000" w:themeColor="text1"/>
          <w:sz w:val="24"/>
          <w:szCs w:val="24"/>
          <w:lang w:val="hr-HR"/>
        </w:rPr>
        <w:lastRenderedPageBreak/>
        <w:t xml:space="preserve">Prihod nisu planirani isključivo u skladu s propisanim indeksom rasta za tu vrstu rashoda, jer je bilo potrebno uzeti u obzir </w:t>
      </w:r>
      <w:r w:rsidR="00FF7646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planirano 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>povećanje</w:t>
      </w:r>
      <w:r w:rsidR="00FF7646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>izdataka zbog povećanja dodataka na staž to je uključeno u indeks,  te</w:t>
      </w:r>
      <w:r w:rsidR="00FF7646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planirano povećanje osnovice za plaće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.  Ostali troškovi za zaposlene: izdatci za </w:t>
      </w:r>
      <w:proofErr w:type="spellStart"/>
      <w:r w:rsidR="009B34CC">
        <w:rPr>
          <w:rFonts w:cstheme="minorHAnsi"/>
          <w:color w:val="000000" w:themeColor="text1"/>
          <w:sz w:val="24"/>
          <w:szCs w:val="24"/>
          <w:lang w:val="hr-HR"/>
        </w:rPr>
        <w:t>uskrsnica</w:t>
      </w:r>
      <w:proofErr w:type="spellEnd"/>
      <w:r w:rsidR="009B34CC">
        <w:rPr>
          <w:rFonts w:cstheme="minorHAnsi"/>
          <w:color w:val="000000" w:themeColor="text1"/>
          <w:sz w:val="24"/>
          <w:szCs w:val="24"/>
          <w:lang w:val="hr-HR"/>
        </w:rPr>
        <w:t>,</w:t>
      </w:r>
      <w:r w:rsidR="009A443D">
        <w:rPr>
          <w:rFonts w:cstheme="minorHAnsi"/>
          <w:color w:val="000000" w:themeColor="text1"/>
          <w:sz w:val="24"/>
          <w:szCs w:val="24"/>
          <w:lang w:val="hr-HR"/>
        </w:rPr>
        <w:t xml:space="preserve"> 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>regres,</w:t>
      </w:r>
      <w:r w:rsidR="009A443D">
        <w:rPr>
          <w:rFonts w:cstheme="minorHAnsi"/>
          <w:color w:val="000000" w:themeColor="text1"/>
          <w:sz w:val="24"/>
          <w:szCs w:val="24"/>
          <w:lang w:val="hr-HR"/>
        </w:rPr>
        <w:t xml:space="preserve"> 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božićnica, dar djeci </w:t>
      </w:r>
      <w:r w:rsidR="000665E5" w:rsidRPr="00BA30CB">
        <w:rPr>
          <w:rFonts w:cstheme="minorHAnsi"/>
          <w:color w:val="000000" w:themeColor="text1"/>
          <w:sz w:val="24"/>
          <w:szCs w:val="24"/>
          <w:lang w:val="hr-HR"/>
        </w:rPr>
        <w:t>,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pomoći za bolovanja duža od 3 mjeseca u godini. Također, trošak za isplatu  jubilarnih nagrada ovisi o broju zaposlenih koji navrše broj godina rada potrebnih za ugovorenu isplatu</w:t>
      </w:r>
      <w:r w:rsidR="003F2976" w:rsidRPr="00BA30CB">
        <w:rPr>
          <w:rFonts w:cstheme="minorHAnsi"/>
          <w:color w:val="000000" w:themeColor="text1"/>
          <w:sz w:val="24"/>
          <w:szCs w:val="24"/>
          <w:lang w:val="hr-HR"/>
        </w:rPr>
        <w:t>,</w:t>
      </w:r>
      <w:r w:rsidR="00720F61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</w:t>
      </w:r>
      <w:r w:rsidR="005D42AF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isplatu </w:t>
      </w:r>
      <w:r w:rsidR="009A443D">
        <w:rPr>
          <w:rFonts w:cstheme="minorHAnsi"/>
          <w:color w:val="000000" w:themeColor="text1"/>
          <w:sz w:val="24"/>
          <w:szCs w:val="24"/>
          <w:lang w:val="hr-HR"/>
        </w:rPr>
        <w:t>otpremnina .</w:t>
      </w:r>
      <w:r w:rsidR="005D42AF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</w:t>
      </w:r>
    </w:p>
    <w:p w:rsidR="001F257D" w:rsidRDefault="001F257D" w:rsidP="00C17EDD">
      <w:pPr>
        <w:spacing w:after="0"/>
        <w:jc w:val="both"/>
        <w:rPr>
          <w:rFonts w:cstheme="minorHAnsi"/>
          <w:b/>
          <w:color w:val="000000" w:themeColor="text1"/>
          <w:sz w:val="24"/>
          <w:szCs w:val="24"/>
          <w:lang w:val="hr-HR"/>
        </w:rPr>
      </w:pPr>
    </w:p>
    <w:p w:rsidR="004649E2" w:rsidRDefault="004649E2" w:rsidP="00C17EDD">
      <w:pPr>
        <w:spacing w:after="0"/>
        <w:jc w:val="both"/>
        <w:rPr>
          <w:rFonts w:cstheme="minorHAnsi"/>
          <w:b/>
          <w:color w:val="000000" w:themeColor="text1"/>
          <w:sz w:val="24"/>
          <w:szCs w:val="24"/>
          <w:lang w:val="hr-HR"/>
        </w:rPr>
      </w:pPr>
      <w:r w:rsidRPr="001F257D">
        <w:rPr>
          <w:rFonts w:cstheme="minorHAnsi"/>
          <w:b/>
          <w:color w:val="000000" w:themeColor="text1"/>
          <w:sz w:val="24"/>
          <w:szCs w:val="24"/>
          <w:lang w:val="hr-HR"/>
        </w:rPr>
        <w:t>Prihodi od projekata EU</w:t>
      </w:r>
    </w:p>
    <w:p w:rsidR="001F257D" w:rsidRDefault="001F257D" w:rsidP="00C17EDD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hr-HR"/>
        </w:rPr>
      </w:pPr>
    </w:p>
    <w:p w:rsidR="001F257D" w:rsidRPr="001F257D" w:rsidRDefault="001F257D" w:rsidP="00C17EDD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hr-HR"/>
        </w:rPr>
      </w:pPr>
      <w:bookmarkStart w:id="0" w:name="_GoBack"/>
      <w:bookmarkEnd w:id="0"/>
      <w:r w:rsidRPr="001F257D">
        <w:rPr>
          <w:rFonts w:cstheme="minorHAnsi"/>
          <w:color w:val="000000" w:themeColor="text1"/>
          <w:sz w:val="24"/>
          <w:szCs w:val="24"/>
          <w:lang w:val="hr-HR"/>
        </w:rPr>
        <w:t>Rashodi za provedbu projektnih aktivnosti po prirodnim vrstama rashoda unutar razreda 3 i</w:t>
      </w:r>
      <w:r>
        <w:rPr>
          <w:rFonts w:cstheme="minorHAnsi"/>
          <w:color w:val="000000" w:themeColor="text1"/>
          <w:sz w:val="24"/>
          <w:szCs w:val="24"/>
          <w:lang w:val="hr-HR"/>
        </w:rPr>
        <w:t xml:space="preserve"> </w:t>
      </w:r>
      <w:r w:rsidRPr="001F257D">
        <w:rPr>
          <w:rFonts w:cstheme="minorHAnsi"/>
          <w:color w:val="000000" w:themeColor="text1"/>
          <w:sz w:val="24"/>
          <w:szCs w:val="24"/>
          <w:lang w:val="hr-HR"/>
        </w:rPr>
        <w:t>4</w:t>
      </w:r>
      <w:r>
        <w:rPr>
          <w:rFonts w:cstheme="minorHAnsi"/>
          <w:color w:val="000000" w:themeColor="text1"/>
          <w:sz w:val="24"/>
          <w:szCs w:val="24"/>
          <w:lang w:val="hr-HR"/>
        </w:rPr>
        <w:t xml:space="preserve"> za projektne aktivnosti koje izravno provodi.</w:t>
      </w:r>
    </w:p>
    <w:p w:rsidR="00D82742" w:rsidRPr="00BA30CB" w:rsidRDefault="00D82742" w:rsidP="00580DEC">
      <w:pPr>
        <w:spacing w:after="0"/>
        <w:rPr>
          <w:rFonts w:cstheme="minorHAnsi"/>
          <w:b/>
          <w:color w:val="000000" w:themeColor="text1"/>
          <w:sz w:val="24"/>
          <w:szCs w:val="24"/>
          <w:lang w:val="hr-HR"/>
        </w:rPr>
      </w:pPr>
    </w:p>
    <w:p w:rsidR="00580DEC" w:rsidRPr="00BA30CB" w:rsidRDefault="00580DEC" w:rsidP="00580DEC">
      <w:pPr>
        <w:spacing w:after="0"/>
        <w:rPr>
          <w:rFonts w:cstheme="minorHAnsi"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Prihodi od </w:t>
      </w:r>
      <w:r w:rsidR="006D40EC" w:rsidRPr="00BA30CB">
        <w:rPr>
          <w:rFonts w:cstheme="minorHAnsi"/>
          <w:b/>
          <w:color w:val="000000" w:themeColor="text1"/>
          <w:sz w:val="24"/>
          <w:szCs w:val="24"/>
          <w:lang w:val="hr-HR"/>
        </w:rPr>
        <w:t>Gradskog ureda za obrazovanje, sport i mlade</w:t>
      </w:r>
      <w:r w:rsidRPr="00BA30CB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 </w:t>
      </w:r>
    </w:p>
    <w:p w:rsidR="00580DEC" w:rsidRPr="00BA30CB" w:rsidRDefault="00580DEC" w:rsidP="00580DEC">
      <w:pPr>
        <w:numPr>
          <w:ilvl w:val="0"/>
          <w:numId w:val="3"/>
        </w:numPr>
        <w:spacing w:after="0"/>
        <w:rPr>
          <w:rFonts w:cstheme="minorHAnsi"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Prihode za financiranje rashoda, koji se financiraju </w:t>
      </w:r>
      <w:r w:rsidR="00577D94" w:rsidRPr="00BA30CB">
        <w:rPr>
          <w:rFonts w:cstheme="minorHAnsi"/>
          <w:color w:val="000000" w:themeColor="text1"/>
          <w:sz w:val="24"/>
          <w:szCs w:val="24"/>
          <w:lang w:val="hr-HR"/>
        </w:rPr>
        <w:t>iz decentraliziranih izvora i pojačanog standarda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>, planirali smo pr</w:t>
      </w:r>
      <w:r w:rsidR="00577D94" w:rsidRPr="00BA30CB">
        <w:rPr>
          <w:rFonts w:cstheme="minorHAnsi"/>
          <w:color w:val="000000" w:themeColor="text1"/>
          <w:sz w:val="24"/>
          <w:szCs w:val="24"/>
          <w:lang w:val="hr-HR"/>
        </w:rPr>
        <w:t>ema dobivenim limitima GUO-a za 202</w:t>
      </w:r>
      <w:r w:rsidR="00E96221">
        <w:rPr>
          <w:rFonts w:cstheme="minorHAnsi"/>
          <w:color w:val="000000" w:themeColor="text1"/>
          <w:sz w:val="24"/>
          <w:szCs w:val="24"/>
          <w:lang w:val="hr-HR"/>
        </w:rPr>
        <w:t>6</w:t>
      </w:r>
      <w:r w:rsidR="00577D94" w:rsidRPr="00BA30CB">
        <w:rPr>
          <w:rFonts w:cstheme="minorHAnsi"/>
          <w:color w:val="000000" w:themeColor="text1"/>
          <w:sz w:val="24"/>
          <w:szCs w:val="24"/>
          <w:lang w:val="hr-HR"/>
        </w:rPr>
        <w:t>.-202</w:t>
      </w:r>
      <w:r w:rsidR="00E96221">
        <w:rPr>
          <w:rFonts w:cstheme="minorHAnsi"/>
          <w:color w:val="000000" w:themeColor="text1"/>
          <w:sz w:val="24"/>
          <w:szCs w:val="24"/>
          <w:lang w:val="hr-HR"/>
        </w:rPr>
        <w:t>8</w:t>
      </w:r>
      <w:r w:rsidR="00577D94" w:rsidRPr="00BA30CB">
        <w:rPr>
          <w:rFonts w:cstheme="minorHAnsi"/>
          <w:color w:val="000000" w:themeColor="text1"/>
          <w:sz w:val="24"/>
          <w:szCs w:val="24"/>
          <w:lang w:val="hr-HR"/>
        </w:rPr>
        <w:t>.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>;</w:t>
      </w:r>
    </w:p>
    <w:p w:rsidR="00E96221" w:rsidRPr="00E96221" w:rsidRDefault="00580DEC" w:rsidP="00580DEC">
      <w:pPr>
        <w:numPr>
          <w:ilvl w:val="0"/>
          <w:numId w:val="3"/>
        </w:numPr>
        <w:spacing w:after="0"/>
        <w:rPr>
          <w:rFonts w:cstheme="minorHAnsi"/>
          <w:i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Od tako dobivenih vrijednosti prihoda prvo smo predvidjeli „fiksne rashode“ koji se planiraju na osnovi potrošnje tekuće godine, tj. troškove energije, prijevoza zaposlenika na posao </w:t>
      </w:r>
      <w:r w:rsidR="00450BC6" w:rsidRPr="00BA30CB">
        <w:rPr>
          <w:rFonts w:cstheme="minorHAnsi"/>
          <w:color w:val="000000" w:themeColor="text1"/>
          <w:sz w:val="24"/>
          <w:szCs w:val="24"/>
          <w:lang w:val="hr-HR"/>
        </w:rPr>
        <w:t>,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>povećanje troškova prijevoza najviše utječ</w:t>
      </w:r>
      <w:r w:rsidR="00577D94" w:rsidRPr="00BA30CB">
        <w:rPr>
          <w:rFonts w:cstheme="minorHAnsi"/>
          <w:color w:val="000000" w:themeColor="text1"/>
          <w:sz w:val="24"/>
          <w:szCs w:val="24"/>
          <w:lang w:val="hr-HR"/>
        </w:rPr>
        <w:t>u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zamjene za bolovanja </w:t>
      </w:r>
      <w:r w:rsidR="00E96221">
        <w:rPr>
          <w:rFonts w:cstheme="minorHAnsi"/>
          <w:color w:val="000000" w:themeColor="text1"/>
          <w:sz w:val="24"/>
          <w:szCs w:val="24"/>
          <w:lang w:val="hr-HR"/>
        </w:rPr>
        <w:t>.</w:t>
      </w:r>
    </w:p>
    <w:p w:rsidR="00580DEC" w:rsidRPr="00BA30CB" w:rsidRDefault="00E96221" w:rsidP="00580DEC">
      <w:pPr>
        <w:numPr>
          <w:ilvl w:val="0"/>
          <w:numId w:val="3"/>
        </w:numPr>
        <w:spacing w:after="0"/>
        <w:rPr>
          <w:rFonts w:cstheme="minorHAnsi"/>
          <w:i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</w:t>
      </w:r>
      <w:r w:rsidR="00580DEC" w:rsidRPr="00BA30CB">
        <w:rPr>
          <w:rFonts w:cstheme="minorHAnsi"/>
          <w:color w:val="000000" w:themeColor="text1"/>
          <w:sz w:val="24"/>
          <w:szCs w:val="24"/>
          <w:lang w:val="hr-HR"/>
        </w:rPr>
        <w:t>Rashode za tekuće i investicijsko održavanje planirali smo u manjem iznosu, nego  što očekujemo ostvariti prema broju učenika, broju odjeljenja i za zgradu jer i nadalje planiramo sve radove, osim onih za koje je potrebno ovlaštenje, izvoditi sami i time što više sredstava uštedjeti za opće troškove</w:t>
      </w:r>
      <w:r w:rsidR="00577D94" w:rsidRPr="00BA30CB">
        <w:rPr>
          <w:rFonts w:cstheme="minorHAnsi"/>
          <w:color w:val="000000" w:themeColor="text1"/>
          <w:sz w:val="24"/>
          <w:szCs w:val="24"/>
          <w:lang w:val="hr-HR"/>
        </w:rPr>
        <w:t>.</w:t>
      </w:r>
    </w:p>
    <w:p w:rsidR="00580DEC" w:rsidRPr="00BA30CB" w:rsidRDefault="00580DEC" w:rsidP="00580DEC">
      <w:pPr>
        <w:numPr>
          <w:ilvl w:val="0"/>
          <w:numId w:val="3"/>
        </w:numPr>
        <w:spacing w:after="0"/>
        <w:rPr>
          <w:rFonts w:cstheme="minorHAnsi"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color w:val="000000" w:themeColor="text1"/>
          <w:sz w:val="24"/>
          <w:szCs w:val="24"/>
          <w:lang w:val="hr-HR"/>
        </w:rPr>
        <w:t>U rashodima iz kategorije općih  troškova prvo smo planirali „obvezne“  rashode za komunalne usluge (voda, odvoz smeća, deratizacija...),  rashode za telefon, platni promet te obveznu pedagošku dokumentaciju i materijal. Nakon toga planiramo ostale troškove prema prioritetima funkcioniranja škole;</w:t>
      </w:r>
    </w:p>
    <w:p w:rsidR="00580DEC" w:rsidRPr="00BA30CB" w:rsidRDefault="00580DEC" w:rsidP="00580DEC">
      <w:pPr>
        <w:numPr>
          <w:ilvl w:val="0"/>
          <w:numId w:val="3"/>
        </w:numPr>
        <w:spacing w:after="0"/>
        <w:rPr>
          <w:rFonts w:cstheme="minorHAnsi"/>
          <w:i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color w:val="000000" w:themeColor="text1"/>
          <w:sz w:val="24"/>
          <w:szCs w:val="24"/>
          <w:lang w:val="hr-HR"/>
        </w:rPr>
        <w:t>S obzirom na stalno rastući broj djece koja se upisuju u gimnazije, zbog uvođenja državne mature kao uvjeta  za upis na fakultet,  nadamo se i povećanju novaca za financiranje minimalnog standarda (od školske godine 20</w:t>
      </w:r>
      <w:r w:rsidR="00577D94" w:rsidRPr="00BA30CB">
        <w:rPr>
          <w:rFonts w:cstheme="minorHAnsi"/>
          <w:color w:val="000000" w:themeColor="text1"/>
          <w:sz w:val="24"/>
          <w:szCs w:val="24"/>
          <w:lang w:val="hr-HR"/>
        </w:rPr>
        <w:t>2</w:t>
      </w:r>
      <w:r w:rsidR="00E96221">
        <w:rPr>
          <w:rFonts w:cstheme="minorHAnsi"/>
          <w:color w:val="000000" w:themeColor="text1"/>
          <w:sz w:val="24"/>
          <w:szCs w:val="24"/>
          <w:lang w:val="hr-HR"/>
        </w:rPr>
        <w:t>5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>./20</w:t>
      </w:r>
      <w:r w:rsidR="00577D94" w:rsidRPr="00BA30CB">
        <w:rPr>
          <w:rFonts w:cstheme="minorHAnsi"/>
          <w:color w:val="000000" w:themeColor="text1"/>
          <w:sz w:val="24"/>
          <w:szCs w:val="24"/>
          <w:lang w:val="hr-HR"/>
        </w:rPr>
        <w:t>2</w:t>
      </w:r>
      <w:r w:rsidR="00E96221">
        <w:rPr>
          <w:rFonts w:cstheme="minorHAnsi"/>
          <w:color w:val="000000" w:themeColor="text1"/>
          <w:sz w:val="24"/>
          <w:szCs w:val="24"/>
          <w:lang w:val="hr-HR"/>
        </w:rPr>
        <w:t>6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. </w:t>
      </w:r>
      <w:r w:rsidR="00057ED1" w:rsidRPr="00BA30CB">
        <w:rPr>
          <w:rFonts w:cstheme="minorHAnsi"/>
          <w:color w:val="000000" w:themeColor="text1"/>
          <w:sz w:val="24"/>
          <w:szCs w:val="24"/>
          <w:lang w:val="hr-HR"/>
        </w:rPr>
        <w:t>)</w:t>
      </w:r>
    </w:p>
    <w:p w:rsidR="00580DEC" w:rsidRPr="00BA30CB" w:rsidRDefault="00580DEC" w:rsidP="00580DEC">
      <w:pPr>
        <w:numPr>
          <w:ilvl w:val="0"/>
          <w:numId w:val="3"/>
        </w:numPr>
        <w:spacing w:after="0"/>
        <w:rPr>
          <w:rFonts w:cstheme="minorHAnsi"/>
          <w:i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Sredstva za organizaciju natjecanja su planirana na prihodovnoj </w:t>
      </w:r>
      <w:r w:rsidR="00CA3692" w:rsidRPr="00BA30CB">
        <w:rPr>
          <w:rFonts w:cstheme="minorHAnsi"/>
          <w:color w:val="000000" w:themeColor="text1"/>
          <w:sz w:val="24"/>
          <w:szCs w:val="24"/>
          <w:lang w:val="hr-HR"/>
        </w:rPr>
        <w:t>i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na rashodovnoj strani</w:t>
      </w:r>
      <w:r w:rsidR="00057ED1" w:rsidRPr="00BA30CB">
        <w:rPr>
          <w:rFonts w:cstheme="minorHAnsi"/>
          <w:color w:val="000000" w:themeColor="text1"/>
          <w:sz w:val="24"/>
          <w:szCs w:val="24"/>
          <w:lang w:val="hr-HR"/>
        </w:rPr>
        <w:t>. Na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tjecanja </w:t>
      </w:r>
      <w:r w:rsidR="00AA7A82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iz </w:t>
      </w:r>
      <w:r w:rsidR="00057ED1" w:rsidRPr="00BA30CB">
        <w:rPr>
          <w:rFonts w:cstheme="minorHAnsi"/>
          <w:color w:val="000000" w:themeColor="text1"/>
          <w:sz w:val="24"/>
          <w:szCs w:val="24"/>
          <w:lang w:val="hr-HR"/>
        </w:rPr>
        <w:t>matematike i informatike</w:t>
      </w:r>
      <w:r w:rsidR="00AA7A82" w:rsidRPr="00BA30CB">
        <w:rPr>
          <w:rFonts w:cstheme="minorHAnsi"/>
          <w:color w:val="000000" w:themeColor="text1"/>
          <w:sz w:val="24"/>
          <w:szCs w:val="24"/>
          <w:lang w:val="hr-HR"/>
        </w:rPr>
        <w:t>,  kojeg će također sufinancirati GU;</w:t>
      </w:r>
    </w:p>
    <w:p w:rsidR="00580DEC" w:rsidRPr="00BA30CB" w:rsidRDefault="00580DEC" w:rsidP="00580DEC">
      <w:pPr>
        <w:numPr>
          <w:ilvl w:val="0"/>
          <w:numId w:val="3"/>
        </w:numPr>
        <w:spacing w:after="0"/>
        <w:rPr>
          <w:rFonts w:cstheme="minorHAnsi"/>
          <w:i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color w:val="000000" w:themeColor="text1"/>
          <w:sz w:val="24"/>
          <w:szCs w:val="24"/>
          <w:lang w:val="hr-HR"/>
        </w:rPr>
        <w:t>Plan</w:t>
      </w:r>
      <w:r w:rsidR="00AA7A82" w:rsidRPr="00BA30CB">
        <w:rPr>
          <w:rFonts w:cstheme="minorHAnsi"/>
          <w:color w:val="000000" w:themeColor="text1"/>
          <w:sz w:val="24"/>
          <w:szCs w:val="24"/>
          <w:lang w:val="hr-HR"/>
        </w:rPr>
        <w:t>irali smo prihode i rashode za pomoćnike u nastavi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, </w:t>
      </w:r>
      <w:r w:rsidR="00AA7A82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a od 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>školske godine 202</w:t>
      </w:r>
      <w:r w:rsidR="00057ED1" w:rsidRPr="00BA30CB">
        <w:rPr>
          <w:rFonts w:cstheme="minorHAnsi"/>
          <w:color w:val="000000" w:themeColor="text1"/>
          <w:sz w:val="24"/>
          <w:szCs w:val="24"/>
          <w:lang w:val="hr-HR"/>
        </w:rPr>
        <w:t>1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>./202</w:t>
      </w:r>
      <w:r w:rsidR="00057ED1" w:rsidRPr="00BA30CB">
        <w:rPr>
          <w:rFonts w:cstheme="minorHAnsi"/>
          <w:color w:val="000000" w:themeColor="text1"/>
          <w:sz w:val="24"/>
          <w:szCs w:val="24"/>
          <w:lang w:val="hr-HR"/>
        </w:rPr>
        <w:t>2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>. imamo  pomoćnic</w:t>
      </w:r>
      <w:r w:rsidR="00B54251">
        <w:rPr>
          <w:rFonts w:cstheme="minorHAnsi"/>
          <w:color w:val="000000" w:themeColor="text1"/>
          <w:sz w:val="24"/>
          <w:szCs w:val="24"/>
          <w:lang w:val="hr-HR"/>
        </w:rPr>
        <w:t>e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>, koj</w:t>
      </w:r>
      <w:r w:rsidR="00B54251">
        <w:rPr>
          <w:rFonts w:cstheme="minorHAnsi"/>
          <w:color w:val="000000" w:themeColor="text1"/>
          <w:sz w:val="24"/>
          <w:szCs w:val="24"/>
          <w:lang w:val="hr-HR"/>
        </w:rPr>
        <w:t>e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ima</w:t>
      </w:r>
      <w:r w:rsidR="00B54251">
        <w:rPr>
          <w:rFonts w:cstheme="minorHAnsi"/>
          <w:color w:val="000000" w:themeColor="text1"/>
          <w:sz w:val="24"/>
          <w:szCs w:val="24"/>
          <w:lang w:val="hr-HR"/>
        </w:rPr>
        <w:t>ju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ugovor o radu pa su za njih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osigurana sredstva. </w:t>
      </w:r>
    </w:p>
    <w:p w:rsidR="00580DEC" w:rsidRPr="00BA30CB" w:rsidRDefault="00580DEC" w:rsidP="00580DEC">
      <w:pPr>
        <w:spacing w:after="0"/>
        <w:rPr>
          <w:rFonts w:cstheme="minorHAnsi"/>
          <w:i/>
          <w:color w:val="000000" w:themeColor="text1"/>
          <w:sz w:val="24"/>
          <w:szCs w:val="24"/>
          <w:lang w:val="hr-HR"/>
        </w:rPr>
      </w:pPr>
    </w:p>
    <w:p w:rsidR="00580DEC" w:rsidRPr="00BA30CB" w:rsidRDefault="00580DEC" w:rsidP="00580DEC">
      <w:pPr>
        <w:spacing w:after="0"/>
        <w:rPr>
          <w:rFonts w:cstheme="minorHAnsi"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b/>
          <w:color w:val="000000" w:themeColor="text1"/>
          <w:sz w:val="24"/>
          <w:szCs w:val="24"/>
          <w:lang w:val="hr-HR"/>
        </w:rPr>
        <w:t xml:space="preserve">Vlastite prihode 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>čine prihodi od iznajmljivanja prostora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školske sportske dvorane, učionica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, 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>školske kantine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>,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i prostora za aparate za napitke. Prihodi će 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se koristiti prvenstveno za osiguranje odvijanja redovnog poslovanja, 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jer se 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isto neće moći osigurati minimalnim standardom, te za financiranje 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opreme za 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aktivnosti iz 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>p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>rograma rada škole.</w:t>
      </w:r>
    </w:p>
    <w:p w:rsidR="00037330" w:rsidRPr="00BA30CB" w:rsidRDefault="00580DEC" w:rsidP="00580DEC">
      <w:pPr>
        <w:spacing w:after="0"/>
        <w:rPr>
          <w:rFonts w:cstheme="minorHAnsi"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b/>
          <w:color w:val="000000" w:themeColor="text1"/>
          <w:sz w:val="24"/>
          <w:szCs w:val="24"/>
          <w:lang w:val="hr-HR"/>
        </w:rPr>
        <w:lastRenderedPageBreak/>
        <w:t>Namjenski prihodi od sufinanciranja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obuhvaćaju prihode  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sastoje se od prihoda od sufinanciranja:  uplate roditelja za provedbu </w:t>
      </w:r>
      <w:r w:rsidR="005A4547" w:rsidRPr="00BA30CB">
        <w:rPr>
          <w:rFonts w:cstheme="minorHAnsi"/>
          <w:color w:val="000000" w:themeColor="text1"/>
          <w:sz w:val="24"/>
          <w:szCs w:val="24"/>
          <w:lang w:val="hr-HR"/>
        </w:rPr>
        <w:t>Programa međunarodne mature</w:t>
      </w:r>
      <w:r w:rsidR="00037330" w:rsidRPr="00BA30CB">
        <w:rPr>
          <w:rFonts w:cstheme="minorHAnsi"/>
          <w:color w:val="000000" w:themeColor="text1"/>
          <w:sz w:val="24"/>
          <w:szCs w:val="24"/>
          <w:lang w:val="hr-HR"/>
        </w:rPr>
        <w:t>,  prihodi za sufinanciranje izleta,  uplate za  stručne ispite, koji se održavaju u našoj školi</w:t>
      </w:r>
      <w:r w:rsidR="005A4547" w:rsidRPr="00BA30CB">
        <w:rPr>
          <w:rFonts w:cstheme="minorHAnsi"/>
          <w:color w:val="000000" w:themeColor="text1"/>
          <w:sz w:val="24"/>
          <w:szCs w:val="24"/>
          <w:lang w:val="hr-HR"/>
        </w:rPr>
        <w:t>.</w:t>
      </w:r>
    </w:p>
    <w:p w:rsidR="00580DEC" w:rsidRPr="00BA30CB" w:rsidRDefault="00580DEC" w:rsidP="00580DEC">
      <w:pPr>
        <w:spacing w:after="0"/>
        <w:rPr>
          <w:rFonts w:cstheme="minorHAnsi"/>
          <w:color w:val="000000" w:themeColor="text1"/>
          <w:sz w:val="24"/>
          <w:szCs w:val="24"/>
          <w:lang w:val="hr-HR"/>
        </w:rPr>
      </w:pPr>
      <w:r w:rsidRPr="00BA30CB">
        <w:rPr>
          <w:rFonts w:cstheme="minorHAnsi"/>
          <w:b/>
          <w:color w:val="000000" w:themeColor="text1"/>
          <w:sz w:val="24"/>
          <w:szCs w:val="24"/>
          <w:lang w:val="hr-HR"/>
        </w:rPr>
        <w:t>Sredstva donacije</w:t>
      </w:r>
      <w:r w:rsidRPr="00BA30CB">
        <w:rPr>
          <w:rFonts w:cstheme="minorHAnsi"/>
          <w:color w:val="000000" w:themeColor="text1"/>
          <w:sz w:val="24"/>
          <w:szCs w:val="24"/>
          <w:lang w:val="hr-HR"/>
        </w:rPr>
        <w:t xml:space="preserve"> utrošit će se  isključivo za planirane namjene</w:t>
      </w:r>
      <w:r w:rsidR="005A4547" w:rsidRPr="00BA30CB">
        <w:rPr>
          <w:rFonts w:cstheme="minorHAnsi"/>
          <w:color w:val="000000" w:themeColor="text1"/>
          <w:sz w:val="24"/>
          <w:szCs w:val="24"/>
          <w:lang w:val="hr-HR"/>
        </w:rPr>
        <w:t>.</w:t>
      </w:r>
    </w:p>
    <w:p w:rsidR="00FA5406" w:rsidRPr="00BA30CB" w:rsidRDefault="00FA5406" w:rsidP="00915A47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FA5406" w:rsidRPr="00BA30CB" w:rsidRDefault="00E167BF" w:rsidP="00FA5406">
      <w:pPr>
        <w:pStyle w:val="Heading1"/>
        <w:jc w:val="both"/>
        <w:rPr>
          <w:rFonts w:asciiTheme="minorHAnsi" w:eastAsiaTheme="minorHAnsi" w:hAnsiTheme="minorHAnsi" w:cstheme="minorHAnsi"/>
          <w:b w:val="0"/>
          <w:bCs w:val="0"/>
          <w:color w:val="000000" w:themeColor="text1"/>
          <w:szCs w:val="24"/>
          <w:lang w:val="en-US" w:eastAsia="en-US"/>
        </w:rPr>
      </w:pPr>
      <w:r w:rsidRPr="00BA30CB">
        <w:rPr>
          <w:rFonts w:asciiTheme="minorHAnsi" w:eastAsiaTheme="minorHAnsi" w:hAnsiTheme="minorHAnsi" w:cstheme="minorHAnsi"/>
          <w:bCs w:val="0"/>
          <w:color w:val="000000" w:themeColor="text1"/>
          <w:szCs w:val="24"/>
          <w:lang w:val="en-US" w:eastAsia="en-US"/>
        </w:rPr>
        <w:t>U OKVIRU PROGRAMA PROVODE SE SLJEDEĆE AKTIVNOSTI/PROJEKTI</w:t>
      </w:r>
      <w:r w:rsidR="00FA5406" w:rsidRPr="00BA30CB">
        <w:rPr>
          <w:rFonts w:asciiTheme="minorHAnsi" w:eastAsiaTheme="minorHAnsi" w:hAnsiTheme="minorHAnsi" w:cstheme="minorHAnsi"/>
          <w:b w:val="0"/>
          <w:bCs w:val="0"/>
          <w:color w:val="000000" w:themeColor="text1"/>
          <w:szCs w:val="24"/>
          <w:lang w:val="en-US" w:eastAsia="en-US"/>
        </w:rPr>
        <w:t xml:space="preserve">: </w:t>
      </w:r>
    </w:p>
    <w:p w:rsidR="00FA5406" w:rsidRPr="00BA30CB" w:rsidRDefault="00FA5406" w:rsidP="00FA5406">
      <w:pPr>
        <w:rPr>
          <w:rFonts w:cstheme="minorHAnsi"/>
          <w:color w:val="000000" w:themeColor="text1"/>
          <w:sz w:val="24"/>
          <w:szCs w:val="24"/>
        </w:rPr>
      </w:pPr>
    </w:p>
    <w:p w:rsidR="00FA5406" w:rsidRPr="00BA30CB" w:rsidRDefault="00FA5406" w:rsidP="00FA5406">
      <w:pPr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00BA30CB">
        <w:rPr>
          <w:rFonts w:cstheme="minorHAnsi"/>
          <w:b/>
          <w:bCs/>
          <w:color w:val="000000" w:themeColor="text1"/>
          <w:sz w:val="24"/>
          <w:szCs w:val="24"/>
        </w:rPr>
        <w:t>Aktivnost</w:t>
      </w:r>
      <w:proofErr w:type="spellEnd"/>
      <w:r w:rsidRPr="00BA30CB">
        <w:rPr>
          <w:rFonts w:cstheme="minorHAnsi"/>
          <w:b/>
          <w:bCs/>
          <w:color w:val="000000" w:themeColor="text1"/>
          <w:sz w:val="24"/>
          <w:szCs w:val="24"/>
        </w:rPr>
        <w:t xml:space="preserve"> A024109 A 410901 REDOVNA DJELATNOST </w:t>
      </w:r>
    </w:p>
    <w:p w:rsidR="003A7D20" w:rsidRPr="00BA30CB" w:rsidRDefault="00FA5406" w:rsidP="00C17EDD">
      <w:pPr>
        <w:shd w:val="clear" w:color="auto" w:fill="FFFFFF"/>
        <w:jc w:val="both"/>
        <w:textAlignment w:val="top"/>
        <w:rPr>
          <w:rFonts w:cstheme="minorHAnsi"/>
          <w:color w:val="000000" w:themeColor="text1"/>
          <w:sz w:val="24"/>
          <w:szCs w:val="24"/>
        </w:rPr>
      </w:pPr>
      <w:r w:rsidRPr="00BA30CB">
        <w:rPr>
          <w:rFonts w:cstheme="minorHAnsi"/>
          <w:color w:val="000000" w:themeColor="text1"/>
          <w:sz w:val="24"/>
          <w:szCs w:val="24"/>
        </w:rPr>
        <w:t xml:space="preserve">Na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temelju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odluke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Vlade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Republike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Hrvatske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o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kriterijima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mjerilima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utvrđivanje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bilančnih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prava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financiranje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minimalnoga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financijskog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standarda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javnih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potreba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odgoja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srednjeg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obrazovanja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učeničkih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domova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Proračunu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Grada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Zagreba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za 202</w:t>
      </w:r>
      <w:r w:rsidR="00892C7D">
        <w:rPr>
          <w:rFonts w:cstheme="minorHAnsi"/>
          <w:color w:val="000000" w:themeColor="text1"/>
          <w:sz w:val="24"/>
          <w:szCs w:val="24"/>
        </w:rPr>
        <w:t>5</w:t>
      </w:r>
      <w:r w:rsidRPr="00BA30CB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osiguravaju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se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sredstva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materijalne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financijske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rashode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te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rashodi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usluge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tekućeg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investicijskog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održavanja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kojima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se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osigurava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minimalni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financijski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standard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srednjih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škola</w:t>
      </w:r>
      <w:proofErr w:type="spellEnd"/>
      <w:r w:rsidR="0073162F" w:rsidRPr="00BA30CB">
        <w:rPr>
          <w:rFonts w:cstheme="minorHAnsi"/>
          <w:color w:val="000000" w:themeColor="text1"/>
          <w:sz w:val="24"/>
          <w:szCs w:val="24"/>
        </w:rPr>
        <w:t>.</w:t>
      </w:r>
    </w:p>
    <w:p w:rsidR="00FA5406" w:rsidRPr="00BA30CB" w:rsidRDefault="00FA5406" w:rsidP="00C17EDD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00BA30CB">
        <w:rPr>
          <w:rFonts w:cstheme="minorHAnsi"/>
          <w:b/>
          <w:bCs/>
          <w:color w:val="000000" w:themeColor="text1"/>
          <w:sz w:val="24"/>
          <w:szCs w:val="24"/>
        </w:rPr>
        <w:t>Aktivnost</w:t>
      </w:r>
      <w:proofErr w:type="spellEnd"/>
      <w:r w:rsidRPr="00BA30CB">
        <w:rPr>
          <w:rFonts w:cstheme="minorHAnsi"/>
          <w:b/>
          <w:bCs/>
          <w:color w:val="000000" w:themeColor="text1"/>
          <w:sz w:val="24"/>
          <w:szCs w:val="24"/>
        </w:rPr>
        <w:t xml:space="preserve"> A024109 A 410902. IZVANNASTAVNE I OSTALE AKTIVNOSTI</w:t>
      </w:r>
    </w:p>
    <w:p w:rsidR="00DB617C" w:rsidRPr="00BA30CB" w:rsidRDefault="00FA5406" w:rsidP="00C17EDD">
      <w:pPr>
        <w:shd w:val="clear" w:color="auto" w:fill="FFFFFF"/>
        <w:jc w:val="both"/>
        <w:textAlignment w:val="top"/>
        <w:rPr>
          <w:rFonts w:cstheme="minorHAnsi"/>
          <w:color w:val="000000" w:themeColor="text1"/>
          <w:sz w:val="24"/>
          <w:szCs w:val="24"/>
        </w:rPr>
      </w:pP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Radi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unapređenja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kvalitete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života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slobodnog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vremena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mladih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te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prevencije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mogućeg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društveno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neprihvatljivog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ponašanja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proračunom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se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osiguravaju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sredstva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financiranje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programa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niza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izvannastavnih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izvanškolskih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aktivnosti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projekata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organiziranog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provođenja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slobodnog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vremena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mladih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drugo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Jedan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od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oblika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izvannastavnih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aktivnosti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kao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sastavnog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dijela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redovitoga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školskog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sustava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tijekom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školske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godine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jesu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natjecanja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učenika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smotre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učeničkog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stvaralaštva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organizirane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na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školskoj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regionalnoj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državnoj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razini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skladu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s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programom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Ministarstva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znanosti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obrazovanja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Agencije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odgoj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proofErr w:type="gramStart"/>
      <w:r w:rsidRPr="00BA30CB">
        <w:rPr>
          <w:rFonts w:cstheme="minorHAnsi"/>
          <w:color w:val="000000" w:themeColor="text1"/>
          <w:sz w:val="24"/>
          <w:szCs w:val="24"/>
        </w:rPr>
        <w:t>obrazovanje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r w:rsidR="00B15A6B">
        <w:rPr>
          <w:rFonts w:cstheme="minorHAnsi"/>
          <w:color w:val="000000" w:themeColor="text1"/>
          <w:sz w:val="24"/>
          <w:szCs w:val="24"/>
        </w:rPr>
        <w:t>.</w:t>
      </w:r>
      <w:proofErr w:type="gramEnd"/>
      <w:r w:rsidRPr="00BA30CB">
        <w:rPr>
          <w:rFonts w:cstheme="minorHAnsi"/>
          <w:color w:val="000000" w:themeColor="text1"/>
          <w:sz w:val="24"/>
          <w:szCs w:val="24"/>
        </w:rPr>
        <w:t xml:space="preserve"> Program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natjecanja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smotri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učenika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srednjih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Grada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Zagreba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donosi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provodi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Gradski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ured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obrazovanje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.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cilju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motiviranja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učenika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stjecanje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dodatnih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znanja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te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poticanja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izvrsnosti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učenika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njihovih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mentora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dodijeljuje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se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Nagrada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Professor Balthazar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školama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učenicima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nastavnicima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-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mentorima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koji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osvojili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prvo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drugo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ili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treće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mjesto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na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državnim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natjecanjima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smotrama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utvrđena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Katalogu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natjecanja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smotri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učenika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učenica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osnovnih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srednjih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Republike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Hrvatske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>.</w:t>
      </w:r>
    </w:p>
    <w:p w:rsidR="00FA5406" w:rsidRPr="00BA30CB" w:rsidRDefault="00FA5406" w:rsidP="00FA5406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BA30CB">
        <w:rPr>
          <w:rFonts w:cstheme="minorHAnsi"/>
          <w:b/>
          <w:bCs/>
          <w:color w:val="000000" w:themeColor="text1"/>
          <w:sz w:val="24"/>
          <w:szCs w:val="24"/>
        </w:rPr>
        <w:t>Aktivnost</w:t>
      </w:r>
      <w:proofErr w:type="spellEnd"/>
      <w:r w:rsidRPr="00BA30CB">
        <w:rPr>
          <w:rFonts w:cstheme="minorHAnsi"/>
          <w:b/>
          <w:bCs/>
          <w:color w:val="000000" w:themeColor="text1"/>
          <w:sz w:val="24"/>
          <w:szCs w:val="24"/>
        </w:rPr>
        <w:t xml:space="preserve">  A</w:t>
      </w:r>
      <w:proofErr w:type="gramEnd"/>
      <w:r w:rsidRPr="00BA30CB">
        <w:rPr>
          <w:rFonts w:cstheme="minorHAnsi"/>
          <w:b/>
          <w:bCs/>
          <w:color w:val="000000" w:themeColor="text1"/>
          <w:sz w:val="24"/>
          <w:szCs w:val="24"/>
        </w:rPr>
        <w:t>02 4109 A 410903 POMOĆNICI U NASTAVI</w:t>
      </w:r>
    </w:p>
    <w:p w:rsidR="00FA5406" w:rsidRPr="00BA30CB" w:rsidRDefault="00FA5406" w:rsidP="00C17EDD">
      <w:pPr>
        <w:autoSpaceDE w:val="0"/>
        <w:autoSpaceDN w:val="0"/>
        <w:adjustRightInd w:val="0"/>
        <w:jc w:val="both"/>
        <w:rPr>
          <w:rFonts w:cstheme="minorHAnsi"/>
          <w:i/>
          <w:color w:val="000000" w:themeColor="text1"/>
          <w:sz w:val="24"/>
          <w:szCs w:val="24"/>
          <w:lang w:val="hr-HR"/>
        </w:rPr>
      </w:pP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Sukladno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članku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99.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Zakona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o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odgoju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obrazovanju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osnovnoj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srednjoj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Državnom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pedagoškom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standardu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srednjoškolskog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sustava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odgoja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obrazovanja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(NN 63/08 i 90/10.),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Pravilniku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o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pomoćnicima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nastavi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stručnim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komunikacijskim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posrednicima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Narodne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novine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102/18, 59/10 i 22/20)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te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Zagrebačkoj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strategiji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izjednačavanja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mogućnosti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osoba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s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invaliditetom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razdoblju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od 2016. do 2020., u rad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uključuju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se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pomoćnici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nastavi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>/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stručni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komunikacijski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posrednici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radi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uspostave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jednako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kvalitetnih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uvjeta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obrazovanja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sve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učenike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sukladno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njihovim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sposobnostima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programu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koji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samostalno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svladavaju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primarnoj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sredini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Pomoćnici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nastavi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>/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stručni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komunikacijski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posrednici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školama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sklapaju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neki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od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ugovora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: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ugovor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o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radu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1B358A" w:rsidRPr="00BA30CB">
        <w:rPr>
          <w:rFonts w:cstheme="minorHAnsi"/>
          <w:color w:val="000000" w:themeColor="text1"/>
          <w:sz w:val="24"/>
          <w:szCs w:val="24"/>
        </w:rPr>
        <w:t>ugo</w:t>
      </w:r>
      <w:r w:rsidRPr="00BA30CB">
        <w:rPr>
          <w:rFonts w:cstheme="minorHAnsi"/>
          <w:color w:val="000000" w:themeColor="text1"/>
          <w:sz w:val="24"/>
          <w:szCs w:val="24"/>
        </w:rPr>
        <w:t>vor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o </w:t>
      </w:r>
      <w:proofErr w:type="spellStart"/>
      <w:proofErr w:type="gramStart"/>
      <w:r w:rsidRPr="00BA30CB">
        <w:rPr>
          <w:rFonts w:cstheme="minorHAnsi"/>
          <w:color w:val="000000" w:themeColor="text1"/>
          <w:sz w:val="24"/>
          <w:szCs w:val="24"/>
        </w:rPr>
        <w:t>djelu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>,  na</w:t>
      </w:r>
      <w:proofErr w:type="gram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određeno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r w:rsidRPr="00BA30CB">
        <w:rPr>
          <w:rFonts w:cstheme="minorHAnsi"/>
          <w:b/>
          <w:color w:val="000000" w:themeColor="text1"/>
          <w:sz w:val="24"/>
          <w:szCs w:val="24"/>
        </w:rPr>
        <w:t xml:space="preserve">i </w:t>
      </w:r>
      <w:proofErr w:type="spellStart"/>
      <w:r w:rsidRPr="00BA30CB">
        <w:rPr>
          <w:rFonts w:cstheme="minorHAnsi"/>
          <w:b/>
          <w:color w:val="000000" w:themeColor="text1"/>
          <w:sz w:val="24"/>
          <w:szCs w:val="24"/>
        </w:rPr>
        <w:t>nepuno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radno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vrijeme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 xml:space="preserve">, </w:t>
      </w:r>
    </w:p>
    <w:p w:rsidR="0026308C" w:rsidRPr="00BA30CB" w:rsidRDefault="00915A47" w:rsidP="006E4617">
      <w:pPr>
        <w:spacing w:before="120"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BA30CB">
        <w:rPr>
          <w:rFonts w:cstheme="minorHAnsi"/>
          <w:b/>
          <w:color w:val="000000" w:themeColor="text1"/>
          <w:sz w:val="24"/>
          <w:szCs w:val="24"/>
        </w:rPr>
        <w:lastRenderedPageBreak/>
        <w:t>POKAZATELJI REZULTATA NA KOJIMA SE ZASNIVAJU IZRAČUNI I OCJENE POTREBNIH SREDSTAVA</w:t>
      </w:r>
    </w:p>
    <w:p w:rsidR="00920F40" w:rsidRDefault="00920F40" w:rsidP="00920F40">
      <w:pPr>
        <w:jc w:val="both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U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školskoj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godini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2025./</w:t>
      </w:r>
      <w:proofErr w:type="gramEnd"/>
      <w:r>
        <w:rPr>
          <w:rFonts w:ascii="Aptos" w:eastAsia="Times New Roman" w:hAnsi="Aptos"/>
          <w:color w:val="000000"/>
          <w:sz w:val="24"/>
          <w:szCs w:val="24"/>
        </w:rPr>
        <w:t xml:space="preserve">2026. XV.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gimnaziju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pohađa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864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učenika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u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Prirodoslovno-matematičkom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programu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raspoređenih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u 32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odjela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te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160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učenika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u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Međunarodnom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IB program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8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odjela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.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Većina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prostora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škole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je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opremljena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LCD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projektorima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, u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uporabi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je 8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pametnih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ploča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, 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svi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nastavnici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su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opremljeni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prijenosnim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računalima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za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korištenje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u nastavi.                                                                                              </w:t>
      </w:r>
    </w:p>
    <w:p w:rsidR="007A6ABE" w:rsidRPr="00BA30CB" w:rsidRDefault="00915A47" w:rsidP="006E4617">
      <w:pPr>
        <w:spacing w:before="120" w:after="120"/>
        <w:rPr>
          <w:rFonts w:cstheme="minorHAnsi"/>
          <w:b/>
          <w:color w:val="000000" w:themeColor="text1"/>
          <w:sz w:val="24"/>
          <w:szCs w:val="24"/>
        </w:rPr>
      </w:pPr>
      <w:r w:rsidRPr="00BA30CB">
        <w:rPr>
          <w:rFonts w:cstheme="minorHAnsi"/>
          <w:b/>
          <w:color w:val="000000" w:themeColor="text1"/>
          <w:sz w:val="24"/>
          <w:szCs w:val="24"/>
        </w:rPr>
        <w:t>6. RAZLOG ODSTUPANJA OD PROŠLOGODIŠNJIH PROJEKCIJA</w:t>
      </w:r>
      <w:r w:rsidRPr="00BA30CB">
        <w:rPr>
          <w:rFonts w:cstheme="minorHAnsi"/>
          <w:b/>
          <w:color w:val="000000" w:themeColor="text1"/>
          <w:sz w:val="24"/>
          <w:szCs w:val="24"/>
        </w:rPr>
        <w:tab/>
      </w:r>
    </w:p>
    <w:p w:rsidR="005A64D3" w:rsidRPr="005A64D3" w:rsidRDefault="005A64D3" w:rsidP="006E4617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5A64D3">
        <w:rPr>
          <w:rFonts w:cstheme="minorHAnsi"/>
          <w:sz w:val="24"/>
          <w:szCs w:val="24"/>
        </w:rPr>
        <w:t>Nema</w:t>
      </w:r>
      <w:proofErr w:type="spellEnd"/>
      <w:r w:rsidRPr="005A64D3">
        <w:rPr>
          <w:rFonts w:cstheme="minorHAnsi"/>
          <w:sz w:val="24"/>
          <w:szCs w:val="24"/>
        </w:rPr>
        <w:t xml:space="preserve"> </w:t>
      </w:r>
      <w:proofErr w:type="spellStart"/>
      <w:r w:rsidRPr="005A64D3">
        <w:rPr>
          <w:rFonts w:cstheme="minorHAnsi"/>
          <w:sz w:val="24"/>
          <w:szCs w:val="24"/>
        </w:rPr>
        <w:t>većih</w:t>
      </w:r>
      <w:proofErr w:type="spellEnd"/>
      <w:r w:rsidRPr="005A64D3">
        <w:rPr>
          <w:rFonts w:cstheme="minorHAnsi"/>
          <w:sz w:val="24"/>
          <w:szCs w:val="24"/>
        </w:rPr>
        <w:t xml:space="preserve"> </w:t>
      </w:r>
      <w:proofErr w:type="spellStart"/>
      <w:r w:rsidRPr="005A64D3">
        <w:rPr>
          <w:rFonts w:cstheme="minorHAnsi"/>
          <w:sz w:val="24"/>
          <w:szCs w:val="24"/>
        </w:rPr>
        <w:t>odstupamnja</w:t>
      </w:r>
      <w:proofErr w:type="spellEnd"/>
    </w:p>
    <w:p w:rsidR="00D82050" w:rsidRDefault="00D82050" w:rsidP="00D82050">
      <w:pPr>
        <w:rPr>
          <w:rFonts w:ascii="Aptos" w:eastAsia="Times New Roman" w:hAnsi="Aptos"/>
          <w:color w:val="000000"/>
          <w:sz w:val="24"/>
          <w:szCs w:val="24"/>
          <w:lang w:val="hr-HR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7. POKAZATELJI USPJEŠNOSTI</w:t>
      </w:r>
    </w:p>
    <w:p w:rsidR="00D82050" w:rsidRDefault="00D82050" w:rsidP="00D82050">
      <w:pPr>
        <w:jc w:val="both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Na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državnim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razinama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natjecanja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znanja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u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organizaciji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AZOO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sudjelovao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je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ukupno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181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učenik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, </w:t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a</w:t>
      </w:r>
      <w:proofErr w:type="gram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ostvareno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je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ukupno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266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nastupa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.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Pri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tome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su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osvojili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20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prvih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mjesta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, 31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drugo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i 28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trećih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mjesta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. Na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međunarodnim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olimpijadama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znanja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i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međunarodnim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natjecanjima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tijekom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2025.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godine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učenici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su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ostvarili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niz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uspjeha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.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Ukupno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je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sudjelovalo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34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natjecatelja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koji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su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ostvarili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45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nastupa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te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je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osvojeno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osam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srebrnih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i 18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brončanih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medalja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. XV. gimnazija je i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ove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godine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najuspješnija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škola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po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broju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osvojenih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Oskara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znanja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Agencije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za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odgoj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i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obrazovanje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.</w:t>
      </w:r>
    </w:p>
    <w:p w:rsidR="00D82050" w:rsidRDefault="00D82050" w:rsidP="00D82050">
      <w:pPr>
        <w:jc w:val="both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U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školskoj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2024./</w:t>
      </w:r>
      <w:proofErr w:type="gramEnd"/>
      <w:r>
        <w:rPr>
          <w:rFonts w:ascii="Aptos" w:eastAsia="Times New Roman" w:hAnsi="Aptos"/>
          <w:color w:val="000000"/>
          <w:sz w:val="24"/>
          <w:szCs w:val="24"/>
        </w:rPr>
        <w:t xml:space="preserve">2025.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ispite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Državne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mature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položili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su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svi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maturanti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koji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su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izašli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na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ispit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.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Prosječne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ocjene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na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višoj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razini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: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Matematika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4.34, Hrvatski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jezik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3.76 i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Engleski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jezik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4.58.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Pregled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upisa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na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fakultete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: FER 110, PMF 27,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Medicina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33.</w:t>
      </w:r>
    </w:p>
    <w:p w:rsidR="00D82050" w:rsidRDefault="00D82050" w:rsidP="00D82050">
      <w:pPr>
        <w:rPr>
          <w:rFonts w:ascii="Aptos" w:eastAsia="Times New Roman" w:hAnsi="Aptos"/>
          <w:color w:val="000000"/>
          <w:sz w:val="24"/>
          <w:szCs w:val="24"/>
        </w:rPr>
      </w:pP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Sedam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učenika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, od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ukupno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20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iz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Republike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Hrvatske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,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dobilo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je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nagradu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MZO za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najuspješnijeg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maturanta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na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državnoj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maturi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, 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ponovno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je,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sedmi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put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od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11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koliko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se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dodjeljuje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,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dobitnik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Nagrade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Soljačić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za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najboljeg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maturanta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upravo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učenica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naše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škole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.</w:t>
      </w:r>
    </w:p>
    <w:p w:rsidR="00FA0EC4" w:rsidRPr="00BA30CB" w:rsidRDefault="00FA0EC4" w:rsidP="006E4617">
      <w:pPr>
        <w:spacing w:before="120" w:after="120"/>
        <w:rPr>
          <w:rFonts w:cstheme="minorHAnsi"/>
          <w:b/>
          <w:color w:val="000000" w:themeColor="text1"/>
          <w:sz w:val="24"/>
          <w:szCs w:val="24"/>
        </w:rPr>
      </w:pPr>
    </w:p>
    <w:p w:rsidR="00F22380" w:rsidRPr="00BA30CB" w:rsidRDefault="00D51699" w:rsidP="00D51699">
      <w:pPr>
        <w:rPr>
          <w:rFonts w:cstheme="minorHAnsi"/>
          <w:color w:val="000000" w:themeColor="text1"/>
          <w:sz w:val="24"/>
          <w:szCs w:val="24"/>
        </w:rPr>
      </w:pPr>
      <w:r w:rsidRPr="00BA30CB">
        <w:rPr>
          <w:rFonts w:cstheme="minorHAnsi"/>
          <w:color w:val="000000" w:themeColor="text1"/>
          <w:sz w:val="24"/>
          <w:szCs w:val="24"/>
        </w:rPr>
        <w:t xml:space="preserve">U </w:t>
      </w: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Zagrebu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>,</w:t>
      </w:r>
      <w:r w:rsidR="00D14AE2"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r w:rsidR="00BE7EA7">
        <w:rPr>
          <w:rFonts w:cstheme="minorHAnsi"/>
          <w:color w:val="000000" w:themeColor="text1"/>
          <w:sz w:val="24"/>
          <w:szCs w:val="24"/>
        </w:rPr>
        <w:t>0</w:t>
      </w:r>
      <w:r w:rsidR="00B51BCA">
        <w:rPr>
          <w:rFonts w:cstheme="minorHAnsi"/>
          <w:color w:val="000000" w:themeColor="text1"/>
          <w:sz w:val="24"/>
          <w:szCs w:val="24"/>
        </w:rPr>
        <w:t>4</w:t>
      </w:r>
      <w:r w:rsidRPr="00BA30CB">
        <w:rPr>
          <w:rFonts w:cstheme="minorHAnsi"/>
          <w:color w:val="000000" w:themeColor="text1"/>
          <w:sz w:val="24"/>
          <w:szCs w:val="24"/>
        </w:rPr>
        <w:t>.</w:t>
      </w:r>
      <w:r w:rsidR="00BA30CB"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FA0EC4">
        <w:rPr>
          <w:rFonts w:cstheme="minorHAnsi"/>
          <w:color w:val="000000" w:themeColor="text1"/>
          <w:sz w:val="24"/>
          <w:szCs w:val="24"/>
        </w:rPr>
        <w:t>studeni</w:t>
      </w:r>
      <w:proofErr w:type="spellEnd"/>
      <w:r w:rsidR="00BA30CB" w:rsidRPr="00BA30CB">
        <w:rPr>
          <w:rFonts w:cstheme="minorHAnsi"/>
          <w:color w:val="000000" w:themeColor="text1"/>
          <w:sz w:val="24"/>
          <w:szCs w:val="24"/>
        </w:rPr>
        <w:t xml:space="preserve"> </w:t>
      </w:r>
      <w:r w:rsidRPr="00BA30CB">
        <w:rPr>
          <w:rFonts w:cstheme="minorHAnsi"/>
          <w:color w:val="000000" w:themeColor="text1"/>
          <w:sz w:val="24"/>
          <w:szCs w:val="24"/>
        </w:rPr>
        <w:t>202</w:t>
      </w:r>
      <w:r w:rsidR="00BE7EA7">
        <w:rPr>
          <w:rFonts w:cstheme="minorHAnsi"/>
          <w:color w:val="000000" w:themeColor="text1"/>
          <w:sz w:val="24"/>
          <w:szCs w:val="24"/>
        </w:rPr>
        <w:t>5</w:t>
      </w:r>
      <w:r w:rsidRPr="00BA30CB">
        <w:rPr>
          <w:rFonts w:cstheme="minorHAnsi"/>
          <w:color w:val="000000" w:themeColor="text1"/>
          <w:sz w:val="24"/>
          <w:szCs w:val="24"/>
        </w:rPr>
        <w:t>.</w:t>
      </w:r>
      <w:r w:rsidR="00DB617C" w:rsidRPr="00BA30CB">
        <w:rPr>
          <w:rFonts w:cstheme="minorHAnsi"/>
          <w:color w:val="000000" w:themeColor="text1"/>
          <w:sz w:val="24"/>
          <w:szCs w:val="24"/>
        </w:rPr>
        <w:t xml:space="preserve">  </w:t>
      </w:r>
    </w:p>
    <w:p w:rsidR="00DB617C" w:rsidRPr="00BA30CB" w:rsidRDefault="00DB617C" w:rsidP="00DB617C">
      <w:pPr>
        <w:ind w:left="5664"/>
        <w:rPr>
          <w:rFonts w:cstheme="minorHAnsi"/>
          <w:color w:val="000000" w:themeColor="text1"/>
          <w:sz w:val="24"/>
          <w:szCs w:val="24"/>
        </w:rPr>
      </w:pPr>
      <w:proofErr w:type="spellStart"/>
      <w:r w:rsidRPr="00BA30CB">
        <w:rPr>
          <w:rFonts w:cstheme="minorHAnsi"/>
          <w:color w:val="000000" w:themeColor="text1"/>
          <w:sz w:val="24"/>
          <w:szCs w:val="24"/>
        </w:rPr>
        <w:t>Ravnatelj</w:t>
      </w:r>
      <w:proofErr w:type="spellEnd"/>
      <w:r w:rsidRPr="00BA30CB">
        <w:rPr>
          <w:rFonts w:cstheme="minorHAnsi"/>
          <w:color w:val="000000" w:themeColor="text1"/>
          <w:sz w:val="24"/>
          <w:szCs w:val="24"/>
        </w:rPr>
        <w:t>:</w:t>
      </w:r>
    </w:p>
    <w:p w:rsidR="00BA30CB" w:rsidRPr="00BA30CB" w:rsidRDefault="00BA30CB" w:rsidP="00DB617C">
      <w:pPr>
        <w:ind w:left="5664"/>
        <w:rPr>
          <w:rFonts w:cstheme="minorHAnsi"/>
          <w:color w:val="000000" w:themeColor="text1"/>
          <w:sz w:val="24"/>
          <w:szCs w:val="24"/>
        </w:rPr>
      </w:pPr>
    </w:p>
    <w:p w:rsidR="00BA30CB" w:rsidRPr="00BA30CB" w:rsidRDefault="00BA30CB" w:rsidP="00DB617C">
      <w:pPr>
        <w:ind w:left="5664"/>
        <w:rPr>
          <w:rFonts w:cstheme="minorHAnsi"/>
          <w:color w:val="000000" w:themeColor="text1"/>
          <w:sz w:val="24"/>
          <w:szCs w:val="24"/>
        </w:rPr>
      </w:pPr>
    </w:p>
    <w:p w:rsidR="00DB617C" w:rsidRPr="00BA30CB" w:rsidRDefault="00AB1520" w:rsidP="00DB617C">
      <w:pPr>
        <w:ind w:left="5664"/>
        <w:rPr>
          <w:rFonts w:cstheme="minorHAnsi"/>
          <w:color w:val="000000" w:themeColor="text1"/>
          <w:sz w:val="24"/>
          <w:szCs w:val="24"/>
        </w:rPr>
      </w:pPr>
      <w:r w:rsidRPr="00BA30CB">
        <w:rPr>
          <w:rFonts w:cstheme="minorHAnsi"/>
          <w:color w:val="000000" w:themeColor="text1"/>
          <w:sz w:val="24"/>
          <w:szCs w:val="24"/>
        </w:rPr>
        <w:t>Nikola Dmitrović</w:t>
      </w:r>
      <w:r w:rsidR="00DB617C" w:rsidRPr="00BA30CB">
        <w:rPr>
          <w:rFonts w:cstheme="minorHAnsi"/>
          <w:color w:val="000000" w:themeColor="text1"/>
          <w:sz w:val="24"/>
          <w:szCs w:val="24"/>
        </w:rPr>
        <w:t xml:space="preserve">, </w:t>
      </w:r>
      <w:r w:rsidRPr="00BA30CB">
        <w:rPr>
          <w:rFonts w:cstheme="minorHAnsi"/>
          <w:color w:val="000000" w:themeColor="text1"/>
          <w:sz w:val="24"/>
          <w:szCs w:val="24"/>
        </w:rPr>
        <w:t>prof.</w:t>
      </w:r>
    </w:p>
    <w:p w:rsidR="00F22380" w:rsidRPr="00BA30CB" w:rsidRDefault="00F22380" w:rsidP="00DB617C">
      <w:pPr>
        <w:spacing w:line="240" w:lineRule="auto"/>
        <w:rPr>
          <w:rFonts w:cstheme="minorHAnsi"/>
          <w:b/>
          <w:color w:val="000000" w:themeColor="text1"/>
          <w:sz w:val="24"/>
          <w:szCs w:val="24"/>
        </w:rPr>
      </w:pPr>
    </w:p>
    <w:sectPr w:rsidR="00F22380" w:rsidRPr="00BA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73CBB"/>
    <w:multiLevelType w:val="hybridMultilevel"/>
    <w:tmpl w:val="617A0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D19A0"/>
    <w:multiLevelType w:val="hybridMultilevel"/>
    <w:tmpl w:val="7856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324E9"/>
    <w:multiLevelType w:val="hybridMultilevel"/>
    <w:tmpl w:val="49A0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20C15"/>
    <w:multiLevelType w:val="hybridMultilevel"/>
    <w:tmpl w:val="5B2AC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7562E"/>
    <w:multiLevelType w:val="hybridMultilevel"/>
    <w:tmpl w:val="DA8CA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06168"/>
    <w:multiLevelType w:val="hybridMultilevel"/>
    <w:tmpl w:val="7E8E82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07FDC"/>
    <w:multiLevelType w:val="hybridMultilevel"/>
    <w:tmpl w:val="F7A059C6"/>
    <w:lvl w:ilvl="0" w:tplc="43487C5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60B55A0"/>
    <w:multiLevelType w:val="hybridMultilevel"/>
    <w:tmpl w:val="56E60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12"/>
    <w:rsid w:val="000156CC"/>
    <w:rsid w:val="00017401"/>
    <w:rsid w:val="0002047F"/>
    <w:rsid w:val="00037330"/>
    <w:rsid w:val="00057ED1"/>
    <w:rsid w:val="000665E5"/>
    <w:rsid w:val="000B76D6"/>
    <w:rsid w:val="000C6C48"/>
    <w:rsid w:val="000D1484"/>
    <w:rsid w:val="0010454A"/>
    <w:rsid w:val="00105143"/>
    <w:rsid w:val="00147227"/>
    <w:rsid w:val="00183FAE"/>
    <w:rsid w:val="00187AE0"/>
    <w:rsid w:val="001B358A"/>
    <w:rsid w:val="001D0BCF"/>
    <w:rsid w:val="001F257D"/>
    <w:rsid w:val="00210120"/>
    <w:rsid w:val="00217DAA"/>
    <w:rsid w:val="00223B4A"/>
    <w:rsid w:val="002260AF"/>
    <w:rsid w:val="0026308C"/>
    <w:rsid w:val="00271F38"/>
    <w:rsid w:val="002C6699"/>
    <w:rsid w:val="002E2012"/>
    <w:rsid w:val="002E3EC6"/>
    <w:rsid w:val="002E5CB7"/>
    <w:rsid w:val="002E6DAB"/>
    <w:rsid w:val="003238C0"/>
    <w:rsid w:val="00334DC8"/>
    <w:rsid w:val="003354D0"/>
    <w:rsid w:val="00347AB5"/>
    <w:rsid w:val="00353846"/>
    <w:rsid w:val="00356DEC"/>
    <w:rsid w:val="0036760E"/>
    <w:rsid w:val="00370E17"/>
    <w:rsid w:val="003766D6"/>
    <w:rsid w:val="00386399"/>
    <w:rsid w:val="003A7D20"/>
    <w:rsid w:val="003C38A2"/>
    <w:rsid w:val="003C681C"/>
    <w:rsid w:val="003E2D9E"/>
    <w:rsid w:val="003E5705"/>
    <w:rsid w:val="003F2976"/>
    <w:rsid w:val="003F5532"/>
    <w:rsid w:val="004372E3"/>
    <w:rsid w:val="00450BC6"/>
    <w:rsid w:val="00461FD0"/>
    <w:rsid w:val="00463777"/>
    <w:rsid w:val="004649E2"/>
    <w:rsid w:val="00474424"/>
    <w:rsid w:val="00483E5E"/>
    <w:rsid w:val="00497E0F"/>
    <w:rsid w:val="004A222F"/>
    <w:rsid w:val="004B18BD"/>
    <w:rsid w:val="004D7897"/>
    <w:rsid w:val="00517131"/>
    <w:rsid w:val="005235D5"/>
    <w:rsid w:val="00524694"/>
    <w:rsid w:val="0054135D"/>
    <w:rsid w:val="00577D94"/>
    <w:rsid w:val="00580DEC"/>
    <w:rsid w:val="005A4547"/>
    <w:rsid w:val="005A64D3"/>
    <w:rsid w:val="005C34D3"/>
    <w:rsid w:val="005D42AF"/>
    <w:rsid w:val="005D5CD4"/>
    <w:rsid w:val="005E54BD"/>
    <w:rsid w:val="005F17EE"/>
    <w:rsid w:val="006251E2"/>
    <w:rsid w:val="006349B6"/>
    <w:rsid w:val="00654C7A"/>
    <w:rsid w:val="00662EB6"/>
    <w:rsid w:val="006658F0"/>
    <w:rsid w:val="006D40EC"/>
    <w:rsid w:val="006D4FE0"/>
    <w:rsid w:val="006E11E2"/>
    <w:rsid w:val="006E4617"/>
    <w:rsid w:val="00720F61"/>
    <w:rsid w:val="0073162F"/>
    <w:rsid w:val="00754155"/>
    <w:rsid w:val="007757B5"/>
    <w:rsid w:val="007A1D45"/>
    <w:rsid w:val="007A6ABE"/>
    <w:rsid w:val="007F350A"/>
    <w:rsid w:val="00821AA8"/>
    <w:rsid w:val="00822A71"/>
    <w:rsid w:val="00841BBC"/>
    <w:rsid w:val="00856939"/>
    <w:rsid w:val="00865835"/>
    <w:rsid w:val="0087312D"/>
    <w:rsid w:val="00876CA6"/>
    <w:rsid w:val="008815F4"/>
    <w:rsid w:val="00885840"/>
    <w:rsid w:val="00892C7D"/>
    <w:rsid w:val="008C1702"/>
    <w:rsid w:val="008F1E36"/>
    <w:rsid w:val="00915A47"/>
    <w:rsid w:val="00920F40"/>
    <w:rsid w:val="009A443D"/>
    <w:rsid w:val="009B34CC"/>
    <w:rsid w:val="009D74BB"/>
    <w:rsid w:val="00A472F1"/>
    <w:rsid w:val="00A70812"/>
    <w:rsid w:val="00A80CCA"/>
    <w:rsid w:val="00AA085C"/>
    <w:rsid w:val="00AA7A82"/>
    <w:rsid w:val="00AB1520"/>
    <w:rsid w:val="00AE221D"/>
    <w:rsid w:val="00AF7EFA"/>
    <w:rsid w:val="00B0166C"/>
    <w:rsid w:val="00B15A6B"/>
    <w:rsid w:val="00B303D1"/>
    <w:rsid w:val="00B36449"/>
    <w:rsid w:val="00B51BCA"/>
    <w:rsid w:val="00B54251"/>
    <w:rsid w:val="00B54F0B"/>
    <w:rsid w:val="00B61179"/>
    <w:rsid w:val="00B91596"/>
    <w:rsid w:val="00BA30CB"/>
    <w:rsid w:val="00BA7A4C"/>
    <w:rsid w:val="00BB7C99"/>
    <w:rsid w:val="00BE527D"/>
    <w:rsid w:val="00BE7EA7"/>
    <w:rsid w:val="00C113C6"/>
    <w:rsid w:val="00C15ED5"/>
    <w:rsid w:val="00C17EDD"/>
    <w:rsid w:val="00C22D39"/>
    <w:rsid w:val="00C47502"/>
    <w:rsid w:val="00CA3692"/>
    <w:rsid w:val="00CD3331"/>
    <w:rsid w:val="00CD7BD8"/>
    <w:rsid w:val="00D14AE2"/>
    <w:rsid w:val="00D17BBF"/>
    <w:rsid w:val="00D25CB3"/>
    <w:rsid w:val="00D34DF8"/>
    <w:rsid w:val="00D35621"/>
    <w:rsid w:val="00D51699"/>
    <w:rsid w:val="00D70E3B"/>
    <w:rsid w:val="00D82050"/>
    <w:rsid w:val="00D82742"/>
    <w:rsid w:val="00D84AAC"/>
    <w:rsid w:val="00D84CDF"/>
    <w:rsid w:val="00D93587"/>
    <w:rsid w:val="00DA04E2"/>
    <w:rsid w:val="00DB266D"/>
    <w:rsid w:val="00DB617C"/>
    <w:rsid w:val="00DF4D2C"/>
    <w:rsid w:val="00DF71AB"/>
    <w:rsid w:val="00E07DB9"/>
    <w:rsid w:val="00E167BF"/>
    <w:rsid w:val="00E212D2"/>
    <w:rsid w:val="00E316DA"/>
    <w:rsid w:val="00E43725"/>
    <w:rsid w:val="00E43987"/>
    <w:rsid w:val="00E52C08"/>
    <w:rsid w:val="00E62586"/>
    <w:rsid w:val="00E93DAF"/>
    <w:rsid w:val="00E96221"/>
    <w:rsid w:val="00EA28C8"/>
    <w:rsid w:val="00EF7343"/>
    <w:rsid w:val="00F22380"/>
    <w:rsid w:val="00F406C7"/>
    <w:rsid w:val="00F42454"/>
    <w:rsid w:val="00F74FC7"/>
    <w:rsid w:val="00F83830"/>
    <w:rsid w:val="00FA0EC4"/>
    <w:rsid w:val="00FA5406"/>
    <w:rsid w:val="00FB2CBA"/>
    <w:rsid w:val="00FC24BA"/>
    <w:rsid w:val="00FD7845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F3B5"/>
  <w15:docId w15:val="{771C253F-BE03-48AE-8BB5-66BECEBB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FA5406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-caption-text">
    <w:name w:val="wp-caption-text"/>
    <w:basedOn w:val="Normal"/>
    <w:rsid w:val="00D3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FA5406"/>
    <w:rPr>
      <w:rFonts w:ascii="Arial" w:eastAsia="Times New Roman" w:hAnsi="Arial" w:cs="Arial"/>
      <w:b/>
      <w:bCs/>
      <w:sz w:val="24"/>
      <w:szCs w:val="20"/>
      <w:lang w:eastAsia="hr-HR"/>
    </w:rPr>
  </w:style>
  <w:style w:type="table" w:styleId="TableGrid">
    <w:name w:val="Table Grid"/>
    <w:basedOn w:val="TableNormal"/>
    <w:uiPriority w:val="59"/>
    <w:rsid w:val="00FA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F1E36"/>
    <w:pPr>
      <w:spacing w:line="360" w:lineRule="auto"/>
      <w:ind w:firstLine="708"/>
    </w:pPr>
    <w:rPr>
      <w:rFonts w:ascii="Times New Roman" w:eastAsia="Calibri" w:hAnsi="Times New Roman" w:cs="Times New Roman"/>
      <w:sz w:val="24"/>
      <w:szCs w:val="20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8F1E36"/>
    <w:rPr>
      <w:rFonts w:ascii="Times New Roman" w:eastAsia="Calibri" w:hAnsi="Times New Roman" w:cs="Times New Roman"/>
      <w:sz w:val="24"/>
      <w:szCs w:val="20"/>
    </w:rPr>
  </w:style>
  <w:style w:type="paragraph" w:styleId="NormalWeb">
    <w:name w:val="Normal (Web)"/>
    <w:basedOn w:val="Normal"/>
    <w:unhideWhenUsed/>
    <w:rsid w:val="0032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3238C0"/>
    <w:rPr>
      <w:b/>
      <w:bCs/>
    </w:rPr>
  </w:style>
  <w:style w:type="paragraph" w:styleId="ListParagraph">
    <w:name w:val="List Paragraph"/>
    <w:basedOn w:val="Normal"/>
    <w:uiPriority w:val="34"/>
    <w:qFormat/>
    <w:rsid w:val="00865835"/>
    <w:pPr>
      <w:ind w:left="720"/>
      <w:contextualSpacing/>
    </w:pPr>
  </w:style>
  <w:style w:type="paragraph" w:styleId="NoSpacing">
    <w:name w:val="No Spacing"/>
    <w:uiPriority w:val="1"/>
    <w:qFormat/>
    <w:rsid w:val="00D84CD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A8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43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2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72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F1EA5-D0F5-4DE3-991A-B6A4FF14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1787</Words>
  <Characters>10186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Anica Tunjić</cp:lastModifiedBy>
  <cp:revision>52</cp:revision>
  <cp:lastPrinted>2022-11-21T11:21:00Z</cp:lastPrinted>
  <dcterms:created xsi:type="dcterms:W3CDTF">2025-10-22T08:58:00Z</dcterms:created>
  <dcterms:modified xsi:type="dcterms:W3CDTF">2025-11-05T10:41:00Z</dcterms:modified>
</cp:coreProperties>
</file>