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76" w:type="dxa"/>
        <w:tblCellMar>
          <w:left w:w="10" w:type="dxa"/>
          <w:right w:w="10" w:type="dxa"/>
        </w:tblCellMar>
        <w:tblLook w:val="0000" w:firstRow="0" w:lastRow="0" w:firstColumn="0" w:lastColumn="0" w:noHBand="0" w:noVBand="0"/>
      </w:tblPr>
      <w:tblGrid>
        <w:gridCol w:w="2518"/>
        <w:gridCol w:w="5103"/>
        <w:gridCol w:w="2268"/>
      </w:tblGrid>
      <w:tr w:rsidR="00727D2C" w:rsidRPr="00685757" w14:paraId="637B7039" w14:textId="77777777">
        <w:tc>
          <w:tcPr>
            <w:tcW w:w="2518" w:type="dxa"/>
            <w:shd w:val="clear" w:color="auto" w:fill="auto"/>
            <w:tcMar>
              <w:top w:w="0" w:type="dxa"/>
              <w:left w:w="108" w:type="dxa"/>
              <w:bottom w:w="0" w:type="dxa"/>
              <w:right w:w="108" w:type="dxa"/>
            </w:tcMar>
          </w:tcPr>
          <w:p w14:paraId="637B7033" w14:textId="77777777" w:rsidR="00727D2C" w:rsidRPr="00685757" w:rsidRDefault="002D08F0" w:rsidP="0091136E">
            <w:r w:rsidRPr="00685757">
              <w:rPr>
                <w:noProof/>
              </w:rPr>
              <w:drawing>
                <wp:anchor distT="0" distB="0" distL="114300" distR="114300" simplePos="0" relativeHeight="251659264" behindDoc="0" locked="0" layoutInCell="1" allowOverlap="1" wp14:anchorId="637B7032" wp14:editId="637B7033">
                  <wp:simplePos x="0" y="0"/>
                  <wp:positionH relativeFrom="column">
                    <wp:posOffset>108585</wp:posOffset>
                  </wp:positionH>
                  <wp:positionV relativeFrom="paragraph">
                    <wp:posOffset>209553</wp:posOffset>
                  </wp:positionV>
                  <wp:extent cx="1187448" cy="1187448"/>
                  <wp:effectExtent l="0" t="0" r="0" b="0"/>
                  <wp:wrapSquare wrapText="bothSides"/>
                  <wp:docPr id="2"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7448" cy="1187448"/>
                          </a:xfrm>
                          <a:prstGeom prst="rect">
                            <a:avLst/>
                          </a:prstGeom>
                          <a:noFill/>
                          <a:ln>
                            <a:noFill/>
                            <a:prstDash/>
                          </a:ln>
                        </pic:spPr>
                      </pic:pic>
                    </a:graphicData>
                  </a:graphic>
                </wp:anchor>
              </w:drawing>
            </w:r>
          </w:p>
        </w:tc>
        <w:tc>
          <w:tcPr>
            <w:tcW w:w="5103" w:type="dxa"/>
            <w:shd w:val="clear" w:color="auto" w:fill="auto"/>
            <w:tcMar>
              <w:top w:w="0" w:type="dxa"/>
              <w:left w:w="108" w:type="dxa"/>
              <w:bottom w:w="0" w:type="dxa"/>
              <w:right w:w="108" w:type="dxa"/>
            </w:tcMar>
            <w:vAlign w:val="center"/>
          </w:tcPr>
          <w:p w14:paraId="637B7034" w14:textId="77777777" w:rsidR="00727D2C" w:rsidRPr="00685757" w:rsidRDefault="002D08F0">
            <w:pPr>
              <w:spacing w:line="276" w:lineRule="auto"/>
              <w:jc w:val="center"/>
              <w:rPr>
                <w:rFonts w:eastAsia="Arial Unicode MS"/>
                <w:sz w:val="26"/>
                <w:szCs w:val="26"/>
              </w:rPr>
            </w:pPr>
            <w:r w:rsidRPr="00685757">
              <w:rPr>
                <w:rFonts w:eastAsia="Arial Unicode MS"/>
                <w:sz w:val="26"/>
                <w:szCs w:val="26"/>
              </w:rPr>
              <w:t>Republika Hrvatska</w:t>
            </w:r>
          </w:p>
          <w:p w14:paraId="637B7035" w14:textId="77777777" w:rsidR="00727D2C" w:rsidRPr="00685757" w:rsidRDefault="002D08F0">
            <w:pPr>
              <w:spacing w:line="276" w:lineRule="auto"/>
              <w:jc w:val="center"/>
              <w:rPr>
                <w:rFonts w:eastAsia="Arial Unicode MS"/>
                <w:b/>
                <w:sz w:val="36"/>
                <w:szCs w:val="36"/>
              </w:rPr>
            </w:pPr>
            <w:r w:rsidRPr="00685757">
              <w:rPr>
                <w:rFonts w:eastAsia="Arial Unicode MS"/>
                <w:b/>
                <w:sz w:val="36"/>
                <w:szCs w:val="36"/>
              </w:rPr>
              <w:t>XV. gimnazija</w:t>
            </w:r>
          </w:p>
          <w:p w14:paraId="637B7036" w14:textId="77777777" w:rsidR="00727D2C" w:rsidRPr="00685757" w:rsidRDefault="002D08F0">
            <w:pPr>
              <w:spacing w:line="276" w:lineRule="auto"/>
              <w:jc w:val="center"/>
              <w:rPr>
                <w:rFonts w:eastAsia="Arial Unicode MS"/>
                <w:sz w:val="28"/>
                <w:szCs w:val="28"/>
              </w:rPr>
            </w:pPr>
            <w:r w:rsidRPr="00685757">
              <w:rPr>
                <w:rFonts w:eastAsia="Arial Unicode MS"/>
                <w:sz w:val="28"/>
                <w:szCs w:val="28"/>
              </w:rPr>
              <w:t xml:space="preserve">IB World </w:t>
            </w:r>
            <w:proofErr w:type="spellStart"/>
            <w:r w:rsidRPr="00685757">
              <w:rPr>
                <w:rFonts w:eastAsia="Arial Unicode MS"/>
                <w:sz w:val="28"/>
                <w:szCs w:val="28"/>
              </w:rPr>
              <w:t>School</w:t>
            </w:r>
            <w:proofErr w:type="spellEnd"/>
          </w:p>
          <w:p w14:paraId="637B7037" w14:textId="77777777" w:rsidR="00727D2C" w:rsidRPr="00685757" w:rsidRDefault="002D08F0">
            <w:pPr>
              <w:spacing w:line="276" w:lineRule="auto"/>
              <w:jc w:val="center"/>
            </w:pPr>
            <w:r w:rsidRPr="00685757">
              <w:rPr>
                <w:rFonts w:eastAsia="Arial Unicode MS"/>
              </w:rPr>
              <w:t xml:space="preserve">Zagreb, </w:t>
            </w:r>
            <w:proofErr w:type="spellStart"/>
            <w:r w:rsidRPr="00685757">
              <w:rPr>
                <w:rFonts w:eastAsia="Arial Unicode MS"/>
              </w:rPr>
              <w:t>Jordanovac</w:t>
            </w:r>
            <w:proofErr w:type="spellEnd"/>
            <w:r w:rsidRPr="00685757">
              <w:rPr>
                <w:rFonts w:eastAsia="Arial Unicode MS"/>
              </w:rPr>
              <w:t xml:space="preserve"> 8</w:t>
            </w:r>
          </w:p>
        </w:tc>
        <w:tc>
          <w:tcPr>
            <w:tcW w:w="2268" w:type="dxa"/>
            <w:shd w:val="clear" w:color="auto" w:fill="auto"/>
            <w:tcMar>
              <w:top w:w="0" w:type="dxa"/>
              <w:left w:w="108" w:type="dxa"/>
              <w:bottom w:w="0" w:type="dxa"/>
              <w:right w:w="108" w:type="dxa"/>
            </w:tcMar>
          </w:tcPr>
          <w:p w14:paraId="637B7038" w14:textId="77777777" w:rsidR="00727D2C" w:rsidRPr="00685757" w:rsidRDefault="002D08F0">
            <w:pPr>
              <w:jc w:val="center"/>
            </w:pPr>
            <w:r w:rsidRPr="00685757">
              <w:rPr>
                <w:noProof/>
              </w:rPr>
              <w:drawing>
                <wp:anchor distT="0" distB="0" distL="114300" distR="114300" simplePos="0" relativeHeight="251660288" behindDoc="0" locked="0" layoutInCell="1" allowOverlap="1" wp14:anchorId="637B7034" wp14:editId="637B7035">
                  <wp:simplePos x="0" y="0"/>
                  <wp:positionH relativeFrom="column">
                    <wp:posOffset>184151</wp:posOffset>
                  </wp:positionH>
                  <wp:positionV relativeFrom="paragraph">
                    <wp:posOffset>329568</wp:posOffset>
                  </wp:positionV>
                  <wp:extent cx="1152528" cy="1123953"/>
                  <wp:effectExtent l="0" t="0" r="9522" b="0"/>
                  <wp:wrapSquare wrapText="bothSides"/>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52528" cy="1123953"/>
                          </a:xfrm>
                          <a:prstGeom prst="rect">
                            <a:avLst/>
                          </a:prstGeom>
                          <a:noFill/>
                          <a:ln>
                            <a:noFill/>
                            <a:prstDash/>
                          </a:ln>
                        </pic:spPr>
                      </pic:pic>
                    </a:graphicData>
                  </a:graphic>
                </wp:anchor>
              </w:drawing>
            </w:r>
          </w:p>
        </w:tc>
      </w:tr>
    </w:tbl>
    <w:p w14:paraId="2F4D7ECD" w14:textId="77777777" w:rsidR="0091136E" w:rsidRPr="00685757" w:rsidRDefault="0091136E">
      <w:pPr>
        <w:autoSpaceDE w:val="0"/>
        <w:jc w:val="both"/>
      </w:pPr>
    </w:p>
    <w:p w14:paraId="637B703A" w14:textId="200B2E73" w:rsidR="00727D2C" w:rsidRPr="00685757" w:rsidRDefault="002D08F0">
      <w:pPr>
        <w:autoSpaceDE w:val="0"/>
        <w:jc w:val="both"/>
        <w:rPr>
          <w:sz w:val="22"/>
          <w:szCs w:val="22"/>
        </w:rPr>
      </w:pPr>
      <w:r w:rsidRPr="00685757">
        <w:rPr>
          <w:sz w:val="22"/>
          <w:szCs w:val="22"/>
        </w:rPr>
        <w:t>Na temelju članka 15., stavka 2. Zakona o javnoj nabavi („Narodne novine“ 120/16</w:t>
      </w:r>
      <w:r w:rsidR="00867461" w:rsidRPr="00685757">
        <w:rPr>
          <w:sz w:val="22"/>
          <w:szCs w:val="22"/>
        </w:rPr>
        <w:t>, 114/22</w:t>
      </w:r>
      <w:r w:rsidRPr="00685757">
        <w:rPr>
          <w:sz w:val="22"/>
          <w:szCs w:val="22"/>
        </w:rPr>
        <w:t xml:space="preserve">) i članka 29., stavka 2., točke 3., alineje </w:t>
      </w:r>
      <w:r w:rsidR="00867461" w:rsidRPr="00685757">
        <w:rPr>
          <w:sz w:val="22"/>
          <w:szCs w:val="22"/>
        </w:rPr>
        <w:t>10</w:t>
      </w:r>
      <w:r w:rsidRPr="00685757">
        <w:rPr>
          <w:sz w:val="22"/>
          <w:szCs w:val="22"/>
        </w:rPr>
        <w:t xml:space="preserve">. Statuta XV. gimnazije, </w:t>
      </w:r>
      <w:r w:rsidR="00867461" w:rsidRPr="00685757">
        <w:rPr>
          <w:sz w:val="22"/>
          <w:szCs w:val="22"/>
        </w:rPr>
        <w:t>KLASA: 012-03/19-01/02, URBROJ: 251-94-08-19-1 od 18. ožujka 2019., KLASA: 012-03/20-01/01, URBROJ: 251-94- 08-20-4 od 29. travnja 2020.</w:t>
      </w:r>
      <w:r w:rsidRPr="00685757">
        <w:rPr>
          <w:sz w:val="22"/>
          <w:szCs w:val="22"/>
        </w:rPr>
        <w:t>, a na prijedlog ravnatelj</w:t>
      </w:r>
      <w:r w:rsidR="00867461" w:rsidRPr="00685757">
        <w:rPr>
          <w:sz w:val="22"/>
          <w:szCs w:val="22"/>
        </w:rPr>
        <w:t>a</w:t>
      </w:r>
      <w:r w:rsidRPr="00685757">
        <w:rPr>
          <w:sz w:val="22"/>
          <w:szCs w:val="22"/>
        </w:rPr>
        <w:t xml:space="preserve">, Školski odbor XV. gimnazije na </w:t>
      </w:r>
      <w:r w:rsidR="00867461" w:rsidRPr="00685757">
        <w:rPr>
          <w:sz w:val="22"/>
          <w:szCs w:val="22"/>
        </w:rPr>
        <w:t>45</w:t>
      </w:r>
      <w:r w:rsidRPr="00685757">
        <w:rPr>
          <w:sz w:val="22"/>
          <w:szCs w:val="22"/>
        </w:rPr>
        <w:t xml:space="preserve">. sjednici održanoj dana </w:t>
      </w:r>
      <w:r w:rsidR="00867461" w:rsidRPr="00685757">
        <w:rPr>
          <w:sz w:val="22"/>
          <w:szCs w:val="22"/>
        </w:rPr>
        <w:t>6. listopada 2023</w:t>
      </w:r>
      <w:r w:rsidRPr="00685757">
        <w:rPr>
          <w:sz w:val="22"/>
          <w:szCs w:val="22"/>
        </w:rPr>
        <w:t>. godine donosi</w:t>
      </w:r>
    </w:p>
    <w:p w14:paraId="637B703B" w14:textId="77777777" w:rsidR="00727D2C" w:rsidRPr="00685757" w:rsidRDefault="00727D2C">
      <w:pPr>
        <w:autoSpaceDE w:val="0"/>
        <w:jc w:val="both"/>
        <w:rPr>
          <w:sz w:val="22"/>
          <w:szCs w:val="22"/>
        </w:rPr>
      </w:pPr>
    </w:p>
    <w:p w14:paraId="76FD45AF" w14:textId="77777777" w:rsidR="0091136E" w:rsidRPr="00685757" w:rsidRDefault="0091136E">
      <w:pPr>
        <w:autoSpaceDE w:val="0"/>
        <w:spacing w:line="360" w:lineRule="auto"/>
        <w:jc w:val="center"/>
        <w:rPr>
          <w:b/>
          <w:bCs/>
          <w:sz w:val="22"/>
          <w:szCs w:val="22"/>
        </w:rPr>
      </w:pPr>
    </w:p>
    <w:p w14:paraId="637B703C" w14:textId="6801C6BE" w:rsidR="00727D2C" w:rsidRPr="00685757" w:rsidRDefault="002D08F0">
      <w:pPr>
        <w:autoSpaceDE w:val="0"/>
        <w:spacing w:line="360" w:lineRule="auto"/>
        <w:jc w:val="center"/>
        <w:rPr>
          <w:b/>
          <w:bCs/>
          <w:sz w:val="22"/>
          <w:szCs w:val="22"/>
        </w:rPr>
      </w:pPr>
      <w:r w:rsidRPr="00685757">
        <w:rPr>
          <w:b/>
          <w:bCs/>
          <w:sz w:val="22"/>
          <w:szCs w:val="22"/>
        </w:rPr>
        <w:t>P R A V I L N I K</w:t>
      </w:r>
    </w:p>
    <w:p w14:paraId="637B703D" w14:textId="26D42232" w:rsidR="00727D2C" w:rsidRPr="00685757" w:rsidRDefault="00867461" w:rsidP="00867461">
      <w:pPr>
        <w:autoSpaceDE w:val="0"/>
        <w:jc w:val="center"/>
        <w:rPr>
          <w:b/>
          <w:bCs/>
          <w:sz w:val="22"/>
          <w:szCs w:val="22"/>
        </w:rPr>
      </w:pPr>
      <w:r w:rsidRPr="00685757">
        <w:rPr>
          <w:b/>
          <w:bCs/>
          <w:sz w:val="22"/>
          <w:szCs w:val="22"/>
        </w:rPr>
        <w:t xml:space="preserve">O IZMJENAMA PRAVILNIKA </w:t>
      </w:r>
      <w:r w:rsidR="002D08F0" w:rsidRPr="00685757">
        <w:rPr>
          <w:b/>
          <w:bCs/>
          <w:sz w:val="22"/>
          <w:szCs w:val="22"/>
        </w:rPr>
        <w:t>O PROVEDBI POSTUPAKA JEDNOSTAVNE NABAVE</w:t>
      </w:r>
    </w:p>
    <w:p w14:paraId="637B703E" w14:textId="77777777" w:rsidR="00727D2C" w:rsidRPr="00685757" w:rsidRDefault="00727D2C">
      <w:pPr>
        <w:autoSpaceDE w:val="0"/>
        <w:rPr>
          <w:bCs/>
          <w:sz w:val="22"/>
          <w:szCs w:val="22"/>
        </w:rPr>
      </w:pPr>
    </w:p>
    <w:p w14:paraId="70537D29" w14:textId="77777777" w:rsidR="00867461" w:rsidRPr="00685757" w:rsidRDefault="00867461">
      <w:pPr>
        <w:autoSpaceDE w:val="0"/>
        <w:jc w:val="center"/>
        <w:rPr>
          <w:bCs/>
          <w:sz w:val="22"/>
          <w:szCs w:val="22"/>
        </w:rPr>
      </w:pPr>
    </w:p>
    <w:p w14:paraId="637B7041" w14:textId="09A7401E" w:rsidR="00727D2C" w:rsidRPr="00685757" w:rsidRDefault="002D08F0">
      <w:pPr>
        <w:autoSpaceDE w:val="0"/>
        <w:jc w:val="center"/>
        <w:rPr>
          <w:sz w:val="22"/>
          <w:szCs w:val="22"/>
        </w:rPr>
      </w:pPr>
      <w:r w:rsidRPr="00685757">
        <w:rPr>
          <w:bCs/>
          <w:sz w:val="22"/>
          <w:szCs w:val="22"/>
        </w:rPr>
        <w:t>Članak</w:t>
      </w:r>
      <w:r w:rsidRPr="00685757">
        <w:rPr>
          <w:b/>
          <w:bCs/>
          <w:sz w:val="22"/>
          <w:szCs w:val="22"/>
        </w:rPr>
        <w:t xml:space="preserve"> </w:t>
      </w:r>
      <w:r w:rsidRPr="00685757">
        <w:rPr>
          <w:bCs/>
          <w:sz w:val="22"/>
          <w:szCs w:val="22"/>
        </w:rPr>
        <w:t>1.</w:t>
      </w:r>
    </w:p>
    <w:p w14:paraId="637B7042" w14:textId="77777777" w:rsidR="00727D2C" w:rsidRPr="00685757" w:rsidRDefault="00727D2C">
      <w:pPr>
        <w:autoSpaceDE w:val="0"/>
        <w:jc w:val="center"/>
        <w:rPr>
          <w:bCs/>
          <w:sz w:val="22"/>
          <w:szCs w:val="22"/>
        </w:rPr>
      </w:pPr>
    </w:p>
    <w:p w14:paraId="4559674A" w14:textId="1F313A6A" w:rsidR="002D15DA" w:rsidRPr="00685757" w:rsidRDefault="00357EBA" w:rsidP="00867461">
      <w:pPr>
        <w:pStyle w:val="BodyText"/>
        <w:rPr>
          <w:sz w:val="22"/>
          <w:szCs w:val="22"/>
        </w:rPr>
      </w:pPr>
      <w:r w:rsidRPr="00685757">
        <w:rPr>
          <w:sz w:val="22"/>
          <w:szCs w:val="22"/>
        </w:rPr>
        <w:t xml:space="preserve">(1) </w:t>
      </w:r>
      <w:r w:rsidR="002D08F0" w:rsidRPr="00685757">
        <w:rPr>
          <w:sz w:val="22"/>
          <w:szCs w:val="22"/>
        </w:rPr>
        <w:t xml:space="preserve">U </w:t>
      </w:r>
      <w:r w:rsidR="00867461" w:rsidRPr="00685757">
        <w:rPr>
          <w:sz w:val="22"/>
          <w:szCs w:val="22"/>
        </w:rPr>
        <w:t xml:space="preserve">cijelom tekstu Pravilnika o provedbu postupaka jednostavne nabave, KLASA: 003-05/17-01/01, URBROJ: 251-94-08-17-1, od 6. ožujka 2017. godine (u daljnjem tekstu: Pravilnik), </w:t>
      </w:r>
      <w:r w:rsidR="002D15DA" w:rsidRPr="00685757">
        <w:rPr>
          <w:sz w:val="22"/>
          <w:szCs w:val="22"/>
        </w:rPr>
        <w:t>svim stavcima u svim člancima pridodaje se odgovarajući broj stavka.</w:t>
      </w:r>
    </w:p>
    <w:p w14:paraId="0900EBC8" w14:textId="77777777" w:rsidR="002D15DA" w:rsidRPr="00685757" w:rsidRDefault="002D15DA" w:rsidP="00867461">
      <w:pPr>
        <w:pStyle w:val="BodyText"/>
        <w:rPr>
          <w:sz w:val="22"/>
          <w:szCs w:val="22"/>
        </w:rPr>
      </w:pPr>
    </w:p>
    <w:p w14:paraId="57AB5425" w14:textId="2461D068" w:rsidR="00867461" w:rsidRPr="00685757" w:rsidRDefault="002D15DA" w:rsidP="00867461">
      <w:pPr>
        <w:pStyle w:val="BodyText"/>
        <w:rPr>
          <w:sz w:val="22"/>
          <w:szCs w:val="22"/>
        </w:rPr>
      </w:pPr>
      <w:r w:rsidRPr="00685757">
        <w:rPr>
          <w:sz w:val="22"/>
          <w:szCs w:val="22"/>
        </w:rPr>
        <w:t xml:space="preserve">(2) U cijelom tekstu Pravilnika </w:t>
      </w:r>
      <w:r w:rsidR="00867461" w:rsidRPr="00685757">
        <w:rPr>
          <w:sz w:val="22"/>
          <w:szCs w:val="22"/>
        </w:rPr>
        <w:t xml:space="preserve">riječi „500.000,00 kn“ zamjenjuju se riječima „66.360,00 EUR“. </w:t>
      </w:r>
    </w:p>
    <w:p w14:paraId="3D0004DF" w14:textId="77777777" w:rsidR="00357EBA" w:rsidRPr="00685757" w:rsidRDefault="00357EBA" w:rsidP="00867461">
      <w:pPr>
        <w:pStyle w:val="BodyText"/>
        <w:rPr>
          <w:sz w:val="22"/>
          <w:szCs w:val="22"/>
        </w:rPr>
      </w:pPr>
    </w:p>
    <w:p w14:paraId="637B7105" w14:textId="40D54FE9" w:rsidR="00727D2C" w:rsidRPr="00685757" w:rsidRDefault="00357EBA" w:rsidP="00867461">
      <w:pPr>
        <w:pStyle w:val="BodyText"/>
        <w:rPr>
          <w:sz w:val="22"/>
          <w:szCs w:val="22"/>
        </w:rPr>
      </w:pPr>
      <w:r w:rsidRPr="00685757">
        <w:rPr>
          <w:sz w:val="22"/>
          <w:szCs w:val="22"/>
        </w:rPr>
        <w:t xml:space="preserve">(2) </w:t>
      </w:r>
      <w:r w:rsidR="00867461" w:rsidRPr="00685757">
        <w:rPr>
          <w:sz w:val="22"/>
          <w:szCs w:val="22"/>
        </w:rPr>
        <w:t>U cijelom tekstu Pravilnika riječi „200.000,00 kn“ zamjenjuju se riječima „26.540,00 EUR“.</w:t>
      </w:r>
    </w:p>
    <w:p w14:paraId="52677982" w14:textId="77777777" w:rsidR="00357EBA" w:rsidRPr="00685757" w:rsidRDefault="00357EBA" w:rsidP="00867461">
      <w:pPr>
        <w:pStyle w:val="BodyText"/>
        <w:rPr>
          <w:sz w:val="22"/>
          <w:szCs w:val="22"/>
        </w:rPr>
      </w:pPr>
    </w:p>
    <w:p w14:paraId="78BEFD57" w14:textId="66AD49B0" w:rsidR="00867461" w:rsidRPr="00685757" w:rsidRDefault="00357EBA" w:rsidP="00867461">
      <w:pPr>
        <w:pStyle w:val="BodyText"/>
        <w:rPr>
          <w:sz w:val="22"/>
          <w:szCs w:val="22"/>
        </w:rPr>
      </w:pPr>
      <w:r w:rsidRPr="00685757">
        <w:rPr>
          <w:sz w:val="22"/>
          <w:szCs w:val="22"/>
        </w:rPr>
        <w:t xml:space="preserve">(3) </w:t>
      </w:r>
      <w:r w:rsidR="00867461" w:rsidRPr="00685757">
        <w:rPr>
          <w:sz w:val="22"/>
          <w:szCs w:val="22"/>
        </w:rPr>
        <w:t>U cijelom tekstu Pravilnika riječi „70.000,00 kn“ zamjenjuju se riječima „9.290,00 EUR“.</w:t>
      </w:r>
    </w:p>
    <w:p w14:paraId="20F0E07F" w14:textId="77777777" w:rsidR="00357EBA" w:rsidRPr="00685757" w:rsidRDefault="00357EBA" w:rsidP="00867461">
      <w:pPr>
        <w:pStyle w:val="BodyText"/>
        <w:rPr>
          <w:sz w:val="22"/>
          <w:szCs w:val="22"/>
        </w:rPr>
      </w:pPr>
    </w:p>
    <w:p w14:paraId="53644D10" w14:textId="53E12FC4" w:rsidR="00867461" w:rsidRPr="00685757" w:rsidRDefault="00357EBA" w:rsidP="00867461">
      <w:pPr>
        <w:pStyle w:val="BodyText"/>
        <w:rPr>
          <w:sz w:val="22"/>
          <w:szCs w:val="22"/>
        </w:rPr>
      </w:pPr>
      <w:r w:rsidRPr="00685757">
        <w:rPr>
          <w:sz w:val="22"/>
          <w:szCs w:val="22"/>
        </w:rPr>
        <w:t xml:space="preserve">(4) </w:t>
      </w:r>
      <w:r w:rsidR="00867461" w:rsidRPr="00685757">
        <w:rPr>
          <w:sz w:val="22"/>
          <w:szCs w:val="22"/>
        </w:rPr>
        <w:t>U cijelom tekstu Pravilnika riječi „20.000,00 kn“ zamjenjuju se riječima „2.650,00 EUR“.</w:t>
      </w:r>
    </w:p>
    <w:p w14:paraId="00F264EC" w14:textId="77777777" w:rsidR="00357EBA" w:rsidRPr="00685757" w:rsidRDefault="00357EBA" w:rsidP="00867461">
      <w:pPr>
        <w:pStyle w:val="BodyText"/>
        <w:rPr>
          <w:sz w:val="22"/>
          <w:szCs w:val="22"/>
        </w:rPr>
      </w:pPr>
    </w:p>
    <w:p w14:paraId="58343778" w14:textId="77777777" w:rsidR="00357EBA" w:rsidRPr="00685757" w:rsidRDefault="00357EBA" w:rsidP="00867461">
      <w:pPr>
        <w:pStyle w:val="BodyText"/>
        <w:rPr>
          <w:sz w:val="22"/>
          <w:szCs w:val="22"/>
        </w:rPr>
      </w:pPr>
    </w:p>
    <w:p w14:paraId="6C80A3AA" w14:textId="6E1668BB" w:rsidR="00867461" w:rsidRPr="00685757" w:rsidRDefault="00867461" w:rsidP="00867461">
      <w:pPr>
        <w:pStyle w:val="BodyText"/>
        <w:jc w:val="center"/>
        <w:rPr>
          <w:sz w:val="22"/>
          <w:szCs w:val="22"/>
        </w:rPr>
      </w:pPr>
      <w:r w:rsidRPr="00685757">
        <w:rPr>
          <w:sz w:val="22"/>
          <w:szCs w:val="22"/>
        </w:rPr>
        <w:t>Članak 2.</w:t>
      </w:r>
    </w:p>
    <w:p w14:paraId="6CBCB436" w14:textId="77777777" w:rsidR="00357EBA" w:rsidRPr="00685757" w:rsidRDefault="00357EBA" w:rsidP="00867461">
      <w:pPr>
        <w:pStyle w:val="BodyText"/>
        <w:jc w:val="center"/>
        <w:rPr>
          <w:sz w:val="22"/>
          <w:szCs w:val="22"/>
        </w:rPr>
      </w:pPr>
    </w:p>
    <w:p w14:paraId="637B7106" w14:textId="1155CB08" w:rsidR="00727D2C" w:rsidRPr="00685757" w:rsidRDefault="00357EBA">
      <w:pPr>
        <w:jc w:val="both"/>
        <w:rPr>
          <w:sz w:val="22"/>
          <w:szCs w:val="22"/>
        </w:rPr>
      </w:pPr>
      <w:r w:rsidRPr="00685757">
        <w:rPr>
          <w:sz w:val="22"/>
          <w:szCs w:val="22"/>
        </w:rPr>
        <w:t xml:space="preserve">(1) </w:t>
      </w:r>
      <w:r w:rsidR="00867461" w:rsidRPr="00685757">
        <w:rPr>
          <w:sz w:val="22"/>
          <w:szCs w:val="22"/>
        </w:rPr>
        <w:t>U članku 6. stavku 1. Pravilnika riječi „</w:t>
      </w:r>
      <w:r w:rsidRPr="00685757">
        <w:rPr>
          <w:sz w:val="22"/>
          <w:szCs w:val="22"/>
        </w:rPr>
        <w:t>najmanje 2 (dva) gospodarska subjekta“ zamjenjuju se riječima „najmanje 3 (tri) gospodarska subjekta“.</w:t>
      </w:r>
    </w:p>
    <w:p w14:paraId="09373266" w14:textId="6640D17B" w:rsidR="00357EBA" w:rsidRPr="00685757" w:rsidRDefault="00357EBA">
      <w:pPr>
        <w:jc w:val="both"/>
        <w:rPr>
          <w:sz w:val="22"/>
          <w:szCs w:val="22"/>
        </w:rPr>
      </w:pPr>
    </w:p>
    <w:p w14:paraId="5FB1422F" w14:textId="77777777" w:rsidR="00357EBA" w:rsidRPr="00685757" w:rsidRDefault="00357EBA">
      <w:pPr>
        <w:jc w:val="both"/>
        <w:rPr>
          <w:sz w:val="22"/>
          <w:szCs w:val="22"/>
        </w:rPr>
      </w:pPr>
    </w:p>
    <w:p w14:paraId="65028BF1" w14:textId="729F3B5F" w:rsidR="00357EBA" w:rsidRPr="00685757" w:rsidRDefault="00357EBA" w:rsidP="00357EBA">
      <w:pPr>
        <w:jc w:val="center"/>
        <w:rPr>
          <w:sz w:val="22"/>
          <w:szCs w:val="22"/>
        </w:rPr>
      </w:pPr>
      <w:r w:rsidRPr="00685757">
        <w:rPr>
          <w:sz w:val="22"/>
          <w:szCs w:val="22"/>
        </w:rPr>
        <w:t>Članak 3.</w:t>
      </w:r>
    </w:p>
    <w:p w14:paraId="61B5ACC3" w14:textId="11B19B6B" w:rsidR="00357EBA" w:rsidRPr="00685757" w:rsidRDefault="00357EBA" w:rsidP="00357EBA">
      <w:pPr>
        <w:jc w:val="center"/>
        <w:rPr>
          <w:sz w:val="22"/>
          <w:szCs w:val="22"/>
        </w:rPr>
      </w:pPr>
    </w:p>
    <w:p w14:paraId="65A424E5" w14:textId="22F2F0AB" w:rsidR="00357EBA" w:rsidRPr="00685757" w:rsidRDefault="00357EBA" w:rsidP="00357EBA">
      <w:pPr>
        <w:jc w:val="both"/>
        <w:rPr>
          <w:sz w:val="22"/>
          <w:szCs w:val="22"/>
        </w:rPr>
      </w:pPr>
      <w:r w:rsidRPr="00685757">
        <w:rPr>
          <w:sz w:val="22"/>
          <w:szCs w:val="22"/>
        </w:rPr>
        <w:t xml:space="preserve">(1) Članak 7. Pravilnika mijenja se i glasi: </w:t>
      </w:r>
    </w:p>
    <w:p w14:paraId="5D078DA3" w14:textId="2EB0704C" w:rsidR="00357EBA" w:rsidRPr="00685757" w:rsidRDefault="00357EBA" w:rsidP="00357EBA">
      <w:pPr>
        <w:jc w:val="both"/>
        <w:rPr>
          <w:sz w:val="22"/>
          <w:szCs w:val="22"/>
        </w:rPr>
      </w:pPr>
    </w:p>
    <w:p w14:paraId="41D0CFDA" w14:textId="543ED8F0" w:rsidR="00357EBA" w:rsidRPr="00685757" w:rsidRDefault="00357EBA" w:rsidP="00357EBA">
      <w:pPr>
        <w:jc w:val="both"/>
        <w:rPr>
          <w:sz w:val="22"/>
          <w:szCs w:val="22"/>
        </w:rPr>
      </w:pPr>
      <w:r w:rsidRPr="00685757">
        <w:rPr>
          <w:sz w:val="22"/>
          <w:szCs w:val="22"/>
        </w:rPr>
        <w:t xml:space="preserve">„ (1) Nabava roba, radova i usluga procijenjene vrijednosti jednake ili veće od </w:t>
      </w:r>
      <w:r w:rsidR="00685757">
        <w:rPr>
          <w:sz w:val="22"/>
          <w:szCs w:val="22"/>
        </w:rPr>
        <w:t>9.290,00</w:t>
      </w:r>
      <w:r w:rsidRPr="00685757">
        <w:rPr>
          <w:sz w:val="22"/>
          <w:szCs w:val="22"/>
        </w:rPr>
        <w:t xml:space="preserve"> </w:t>
      </w:r>
      <w:r w:rsidR="00685757">
        <w:rPr>
          <w:sz w:val="22"/>
          <w:szCs w:val="22"/>
        </w:rPr>
        <w:t>EUR</w:t>
      </w:r>
      <w:r w:rsidRPr="00685757">
        <w:rPr>
          <w:sz w:val="22"/>
          <w:szCs w:val="22"/>
        </w:rPr>
        <w:t xml:space="preserve">, a manje od </w:t>
      </w:r>
      <w:r w:rsidR="00685757">
        <w:rPr>
          <w:sz w:val="22"/>
          <w:szCs w:val="22"/>
        </w:rPr>
        <w:t>26.540,00</w:t>
      </w:r>
      <w:r w:rsidRPr="00685757">
        <w:rPr>
          <w:sz w:val="22"/>
          <w:szCs w:val="22"/>
        </w:rPr>
        <w:t xml:space="preserve"> </w:t>
      </w:r>
      <w:r w:rsidR="00685757">
        <w:rPr>
          <w:sz w:val="22"/>
          <w:szCs w:val="22"/>
        </w:rPr>
        <w:t>EUR</w:t>
      </w:r>
      <w:r w:rsidRPr="00685757">
        <w:rPr>
          <w:sz w:val="22"/>
          <w:szCs w:val="22"/>
        </w:rPr>
        <w:t xml:space="preserve"> za nabavu roba i usluga odnosno do </w:t>
      </w:r>
      <w:r w:rsidR="00685757">
        <w:rPr>
          <w:sz w:val="22"/>
          <w:szCs w:val="22"/>
        </w:rPr>
        <w:t>66.360,00 EUR</w:t>
      </w:r>
      <w:r w:rsidRPr="00685757">
        <w:rPr>
          <w:sz w:val="22"/>
          <w:szCs w:val="22"/>
        </w:rPr>
        <w:t xml:space="preserve"> za radove naručitelj provodi objavom poziva na službenoj mrežnoj stranici naručitelja.</w:t>
      </w:r>
    </w:p>
    <w:p w14:paraId="2AFE0E0A" w14:textId="6F6D5EAF" w:rsidR="00357EBA" w:rsidRPr="00685757" w:rsidRDefault="00357EBA" w:rsidP="00357EBA">
      <w:pPr>
        <w:jc w:val="both"/>
        <w:rPr>
          <w:sz w:val="22"/>
          <w:szCs w:val="22"/>
        </w:rPr>
      </w:pPr>
    </w:p>
    <w:p w14:paraId="51D66399" w14:textId="3B38CE63" w:rsidR="00357EBA" w:rsidRPr="00685757" w:rsidRDefault="00357EBA" w:rsidP="00357EBA">
      <w:pPr>
        <w:jc w:val="both"/>
        <w:rPr>
          <w:sz w:val="22"/>
          <w:szCs w:val="22"/>
        </w:rPr>
      </w:pPr>
      <w:r w:rsidRPr="00685757">
        <w:rPr>
          <w:sz w:val="22"/>
          <w:szCs w:val="22"/>
        </w:rPr>
        <w:t xml:space="preserve">(2) Poziv mora biti dostupan na </w:t>
      </w:r>
      <w:r w:rsidR="002918D0" w:rsidRPr="00685757">
        <w:rPr>
          <w:sz w:val="22"/>
          <w:szCs w:val="22"/>
        </w:rPr>
        <w:t>mrežnoj</w:t>
      </w:r>
      <w:r w:rsidRPr="00685757">
        <w:rPr>
          <w:sz w:val="22"/>
          <w:szCs w:val="22"/>
        </w:rPr>
        <w:t xml:space="preserve"> stranic</w:t>
      </w:r>
      <w:r w:rsidR="002918D0" w:rsidRPr="00685757">
        <w:rPr>
          <w:sz w:val="22"/>
          <w:szCs w:val="22"/>
        </w:rPr>
        <w:t>i</w:t>
      </w:r>
      <w:r w:rsidRPr="00685757">
        <w:rPr>
          <w:sz w:val="22"/>
          <w:szCs w:val="22"/>
        </w:rPr>
        <w:t xml:space="preserve"> najmanje 30 dana od dana njegove objave.</w:t>
      </w:r>
    </w:p>
    <w:p w14:paraId="15BA1383" w14:textId="1E8B4C7A" w:rsidR="00357EBA" w:rsidRPr="00685757" w:rsidRDefault="00357EBA" w:rsidP="00357EBA">
      <w:pPr>
        <w:jc w:val="both"/>
        <w:rPr>
          <w:sz w:val="22"/>
          <w:szCs w:val="22"/>
        </w:rPr>
      </w:pPr>
    </w:p>
    <w:p w14:paraId="6101AD86" w14:textId="6E57226B" w:rsidR="00357EBA" w:rsidRPr="00685757" w:rsidRDefault="00357EBA" w:rsidP="00357EBA">
      <w:pPr>
        <w:jc w:val="both"/>
        <w:rPr>
          <w:sz w:val="22"/>
          <w:szCs w:val="22"/>
        </w:rPr>
      </w:pPr>
      <w:r w:rsidRPr="00685757">
        <w:rPr>
          <w:sz w:val="22"/>
          <w:szCs w:val="22"/>
        </w:rPr>
        <w:t xml:space="preserve">(3) Poziv na dostavu ponuda u pravilu sadrži naziv naručitelja, opis predmeta nabave, troškovnik,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adresu elektroničke pošte, datum objave poziva na </w:t>
      </w:r>
      <w:r w:rsidR="002918D0" w:rsidRPr="00685757">
        <w:rPr>
          <w:sz w:val="22"/>
          <w:szCs w:val="22"/>
        </w:rPr>
        <w:t>mrežnoj stranici</w:t>
      </w:r>
      <w:r w:rsidRPr="00685757">
        <w:rPr>
          <w:sz w:val="22"/>
          <w:szCs w:val="22"/>
        </w:rPr>
        <w:t>.</w:t>
      </w:r>
    </w:p>
    <w:p w14:paraId="54C4FC1D" w14:textId="2408C75E" w:rsidR="00357EBA" w:rsidRPr="00685757" w:rsidRDefault="00357EBA" w:rsidP="00357EBA">
      <w:pPr>
        <w:jc w:val="both"/>
        <w:rPr>
          <w:sz w:val="22"/>
          <w:szCs w:val="22"/>
        </w:rPr>
      </w:pPr>
    </w:p>
    <w:p w14:paraId="7FD52B06" w14:textId="0DFFB78B" w:rsidR="00357EBA" w:rsidRPr="00685757" w:rsidRDefault="00357EBA" w:rsidP="00357EBA">
      <w:pPr>
        <w:jc w:val="both"/>
        <w:rPr>
          <w:sz w:val="22"/>
          <w:szCs w:val="22"/>
        </w:rPr>
      </w:pPr>
      <w:r w:rsidRPr="00685757">
        <w:rPr>
          <w:sz w:val="22"/>
          <w:szCs w:val="22"/>
        </w:rPr>
        <w:t xml:space="preserve">(4) Rok za dostavu ponuda u pravilu ne smije biti kraći od </w:t>
      </w:r>
      <w:r w:rsidR="002918D0" w:rsidRPr="00685757">
        <w:rPr>
          <w:sz w:val="22"/>
          <w:szCs w:val="22"/>
        </w:rPr>
        <w:t>5 niti duži od</w:t>
      </w:r>
      <w:r w:rsidRPr="00685757">
        <w:rPr>
          <w:sz w:val="22"/>
          <w:szCs w:val="22"/>
        </w:rPr>
        <w:t xml:space="preserve"> 15 dana od dana objavljivanja poziva za dostavu ponuda.</w:t>
      </w:r>
    </w:p>
    <w:p w14:paraId="2631011A" w14:textId="4103FF5D" w:rsidR="002D15DA" w:rsidRPr="00685757" w:rsidRDefault="002D15DA" w:rsidP="00357EBA">
      <w:pPr>
        <w:jc w:val="both"/>
        <w:rPr>
          <w:sz w:val="22"/>
          <w:szCs w:val="22"/>
        </w:rPr>
      </w:pPr>
    </w:p>
    <w:p w14:paraId="5168601C" w14:textId="2F917A5D" w:rsidR="002D15DA" w:rsidRPr="00685757" w:rsidRDefault="002D15DA" w:rsidP="00357EBA">
      <w:pPr>
        <w:jc w:val="both"/>
        <w:rPr>
          <w:sz w:val="22"/>
          <w:szCs w:val="22"/>
        </w:rPr>
      </w:pPr>
      <w:r w:rsidRPr="00685757">
        <w:rPr>
          <w:sz w:val="22"/>
          <w:szCs w:val="22"/>
        </w:rPr>
        <w:t>(5) Za odabir ponude dovoljna je 1 (jedna) pristigla ponuda koja udovoljava svim traženim uvjetima naručitelja.</w:t>
      </w:r>
    </w:p>
    <w:p w14:paraId="15C0A2C0" w14:textId="1A305CAB" w:rsidR="002918D0" w:rsidRPr="00685757" w:rsidRDefault="002918D0" w:rsidP="00357EBA">
      <w:pPr>
        <w:jc w:val="both"/>
        <w:rPr>
          <w:sz w:val="22"/>
          <w:szCs w:val="22"/>
        </w:rPr>
      </w:pPr>
    </w:p>
    <w:p w14:paraId="4C5FD972" w14:textId="0C3E96FF" w:rsidR="002918D0" w:rsidRPr="00685757" w:rsidRDefault="002918D0" w:rsidP="00357EBA">
      <w:pPr>
        <w:jc w:val="both"/>
        <w:rPr>
          <w:color w:val="000000"/>
          <w:sz w:val="22"/>
          <w:szCs w:val="22"/>
          <w:shd w:val="clear" w:color="auto" w:fill="FFFFFF"/>
        </w:rPr>
      </w:pPr>
      <w:r w:rsidRPr="00685757">
        <w:rPr>
          <w:sz w:val="22"/>
          <w:szCs w:val="22"/>
        </w:rPr>
        <w:t>(</w:t>
      </w:r>
      <w:r w:rsidR="002D15DA" w:rsidRPr="00685757">
        <w:rPr>
          <w:sz w:val="22"/>
          <w:szCs w:val="22"/>
        </w:rPr>
        <w:t>6</w:t>
      </w:r>
      <w:r w:rsidRPr="00685757">
        <w:rPr>
          <w:sz w:val="22"/>
          <w:szCs w:val="22"/>
        </w:rPr>
        <w:t xml:space="preserve">) Iznimno od stavka 1., u opravdanim okolnostima </w:t>
      </w:r>
      <w:r w:rsidRPr="00685757">
        <w:rPr>
          <w:color w:val="000000"/>
          <w:sz w:val="22"/>
          <w:szCs w:val="22"/>
          <w:shd w:val="clear" w:color="auto" w:fill="FFFFFF"/>
        </w:rPr>
        <w:t>(kada primjerice zbog tehničkih ili umjetničkih razloga ili razloga povezanih sa zaštitom isključivih prava, izvođenje radova ili poslova, isporuku robe ili pružanje usluga može izvršiti samo određeni gospodarski subjekt ili kada je to prijeko potrebno zbog žurnosti izazvane događajima koji se nisu mogli predvidjeti i drugo), nabava se može provesti bez objave poziva na mrežnoj stranici</w:t>
      </w:r>
      <w:r w:rsidR="002D15DA" w:rsidRPr="00685757">
        <w:rPr>
          <w:color w:val="000000"/>
          <w:sz w:val="22"/>
          <w:szCs w:val="22"/>
          <w:shd w:val="clear" w:color="auto" w:fill="FFFFFF"/>
        </w:rPr>
        <w:t>, dostavom poziva na dostavu ponuda najmanje 1 (jednom) gospodarskom subjektu.</w:t>
      </w:r>
    </w:p>
    <w:p w14:paraId="59F6FE89" w14:textId="738FADAD" w:rsidR="002918D0" w:rsidRPr="00685757" w:rsidRDefault="002918D0" w:rsidP="00357EBA">
      <w:pPr>
        <w:jc w:val="both"/>
        <w:rPr>
          <w:sz w:val="22"/>
          <w:szCs w:val="22"/>
        </w:rPr>
      </w:pPr>
    </w:p>
    <w:p w14:paraId="6A06B2DE" w14:textId="54BC11DA" w:rsidR="002918D0" w:rsidRPr="00685757" w:rsidRDefault="002918D0" w:rsidP="00357EBA">
      <w:pPr>
        <w:jc w:val="both"/>
        <w:rPr>
          <w:sz w:val="22"/>
          <w:szCs w:val="22"/>
        </w:rPr>
      </w:pPr>
      <w:r w:rsidRPr="00685757">
        <w:rPr>
          <w:sz w:val="22"/>
          <w:szCs w:val="22"/>
        </w:rPr>
        <w:t>(</w:t>
      </w:r>
      <w:r w:rsidR="002D15DA" w:rsidRPr="00685757">
        <w:rPr>
          <w:sz w:val="22"/>
          <w:szCs w:val="22"/>
        </w:rPr>
        <w:t>7</w:t>
      </w:r>
      <w:r w:rsidRPr="00685757">
        <w:rPr>
          <w:sz w:val="22"/>
          <w:szCs w:val="22"/>
        </w:rPr>
        <w:t>) Iznimno od stavka 4., u opravdanim okolnostima, rok za dostavu ponuda može biti i kraći od 5 ili dulji od 15 dana.</w:t>
      </w:r>
    </w:p>
    <w:p w14:paraId="11D22201" w14:textId="456F3FD4" w:rsidR="002918D0" w:rsidRPr="00685757" w:rsidRDefault="002918D0" w:rsidP="00357EBA">
      <w:pPr>
        <w:jc w:val="both"/>
        <w:rPr>
          <w:sz w:val="22"/>
          <w:szCs w:val="22"/>
        </w:rPr>
      </w:pPr>
    </w:p>
    <w:p w14:paraId="637B7107" w14:textId="2038E13C" w:rsidR="00727D2C" w:rsidRPr="00685757" w:rsidRDefault="002918D0">
      <w:pPr>
        <w:jc w:val="both"/>
        <w:rPr>
          <w:sz w:val="22"/>
          <w:szCs w:val="22"/>
        </w:rPr>
      </w:pPr>
      <w:r w:rsidRPr="00685757">
        <w:rPr>
          <w:sz w:val="22"/>
          <w:szCs w:val="22"/>
        </w:rPr>
        <w:t>(</w:t>
      </w:r>
      <w:r w:rsidR="002D15DA" w:rsidRPr="00685757">
        <w:rPr>
          <w:sz w:val="22"/>
          <w:szCs w:val="22"/>
        </w:rPr>
        <w:t>8</w:t>
      </w:r>
      <w:r w:rsidRPr="00685757">
        <w:rPr>
          <w:sz w:val="22"/>
          <w:szCs w:val="22"/>
        </w:rPr>
        <w:t>) U slučajevima iz stavaka 5. i 6. obrazloženje opravdanih okolnosti mora biti sadržano u odluci o početku postupka jednostavne nabave iz članka 4. stavka 1. ovog Pravilnika.</w:t>
      </w:r>
      <w:r w:rsidR="002D15DA" w:rsidRPr="00685757">
        <w:rPr>
          <w:sz w:val="22"/>
          <w:szCs w:val="22"/>
        </w:rPr>
        <w:t>“</w:t>
      </w:r>
    </w:p>
    <w:p w14:paraId="637B7108" w14:textId="77777777" w:rsidR="00727D2C" w:rsidRPr="00685757" w:rsidRDefault="00727D2C">
      <w:pPr>
        <w:jc w:val="both"/>
        <w:rPr>
          <w:sz w:val="22"/>
          <w:szCs w:val="22"/>
        </w:rPr>
      </w:pPr>
    </w:p>
    <w:p w14:paraId="637B7109" w14:textId="77777777" w:rsidR="00727D2C" w:rsidRPr="00685757" w:rsidRDefault="00727D2C">
      <w:pPr>
        <w:jc w:val="both"/>
        <w:rPr>
          <w:sz w:val="22"/>
          <w:szCs w:val="22"/>
        </w:rPr>
      </w:pPr>
    </w:p>
    <w:p w14:paraId="637B710D" w14:textId="77777777" w:rsidR="00727D2C" w:rsidRPr="00685757" w:rsidRDefault="00727D2C">
      <w:pPr>
        <w:jc w:val="both"/>
        <w:rPr>
          <w:sz w:val="22"/>
          <w:szCs w:val="22"/>
        </w:rPr>
      </w:pPr>
    </w:p>
    <w:p w14:paraId="637B710E" w14:textId="77777777" w:rsidR="00727D2C" w:rsidRPr="00685757" w:rsidRDefault="002D08F0">
      <w:pPr>
        <w:jc w:val="center"/>
        <w:rPr>
          <w:b/>
          <w:sz w:val="22"/>
          <w:szCs w:val="22"/>
        </w:rPr>
      </w:pPr>
      <w:r w:rsidRPr="00685757">
        <w:rPr>
          <w:b/>
          <w:sz w:val="22"/>
          <w:szCs w:val="22"/>
        </w:rPr>
        <w:t>PRIJELAZNE I ZAVRŠNE ODREDBE</w:t>
      </w:r>
    </w:p>
    <w:p w14:paraId="637B710F" w14:textId="77777777" w:rsidR="00727D2C" w:rsidRPr="00685757" w:rsidRDefault="00727D2C">
      <w:pPr>
        <w:jc w:val="center"/>
        <w:rPr>
          <w:b/>
          <w:sz w:val="22"/>
          <w:szCs w:val="22"/>
        </w:rPr>
      </w:pPr>
    </w:p>
    <w:p w14:paraId="637B7110" w14:textId="430C7C5A" w:rsidR="00727D2C" w:rsidRPr="00685757" w:rsidRDefault="002D08F0">
      <w:pPr>
        <w:jc w:val="center"/>
        <w:rPr>
          <w:sz w:val="22"/>
          <w:szCs w:val="22"/>
        </w:rPr>
      </w:pPr>
      <w:r w:rsidRPr="00685757">
        <w:rPr>
          <w:sz w:val="22"/>
          <w:szCs w:val="22"/>
        </w:rPr>
        <w:t xml:space="preserve">Članak </w:t>
      </w:r>
      <w:r w:rsidR="00E4074C" w:rsidRPr="00685757">
        <w:rPr>
          <w:sz w:val="22"/>
          <w:szCs w:val="22"/>
        </w:rPr>
        <w:t>4</w:t>
      </w:r>
      <w:r w:rsidRPr="00685757">
        <w:rPr>
          <w:sz w:val="22"/>
          <w:szCs w:val="22"/>
        </w:rPr>
        <w:t>.</w:t>
      </w:r>
    </w:p>
    <w:p w14:paraId="637B7111" w14:textId="77777777" w:rsidR="00727D2C" w:rsidRPr="00685757" w:rsidRDefault="00727D2C">
      <w:pPr>
        <w:jc w:val="center"/>
        <w:rPr>
          <w:sz w:val="22"/>
          <w:szCs w:val="22"/>
        </w:rPr>
      </w:pPr>
    </w:p>
    <w:p w14:paraId="637B7114" w14:textId="3EE5FB96" w:rsidR="00727D2C" w:rsidRPr="00685757" w:rsidRDefault="002D15DA">
      <w:pPr>
        <w:jc w:val="both"/>
        <w:rPr>
          <w:sz w:val="22"/>
          <w:szCs w:val="22"/>
        </w:rPr>
      </w:pPr>
      <w:r w:rsidRPr="00685757">
        <w:rPr>
          <w:sz w:val="22"/>
          <w:szCs w:val="22"/>
        </w:rPr>
        <w:t xml:space="preserve">(1) </w:t>
      </w:r>
      <w:r w:rsidR="002D08F0" w:rsidRPr="00685757">
        <w:rPr>
          <w:sz w:val="22"/>
          <w:szCs w:val="22"/>
        </w:rPr>
        <w:t xml:space="preserve">Ovaj Pravilnik stupa na snagu danom </w:t>
      </w:r>
      <w:r w:rsidRPr="00685757">
        <w:rPr>
          <w:sz w:val="22"/>
          <w:szCs w:val="22"/>
        </w:rPr>
        <w:t>donošenja</w:t>
      </w:r>
      <w:r w:rsidR="002D08F0" w:rsidRPr="00685757">
        <w:rPr>
          <w:sz w:val="22"/>
          <w:szCs w:val="22"/>
        </w:rPr>
        <w:t xml:space="preserve"> i objavit će se na web stranici naručitelja.</w:t>
      </w:r>
    </w:p>
    <w:p w14:paraId="637B7115" w14:textId="17F17D91" w:rsidR="00727D2C" w:rsidRPr="00685757" w:rsidRDefault="00727D2C">
      <w:pPr>
        <w:jc w:val="both"/>
        <w:rPr>
          <w:sz w:val="22"/>
          <w:szCs w:val="22"/>
        </w:rPr>
      </w:pPr>
    </w:p>
    <w:p w14:paraId="266ACF83" w14:textId="77777777" w:rsidR="002D15DA" w:rsidRPr="00685757" w:rsidRDefault="002D15DA">
      <w:pPr>
        <w:jc w:val="both"/>
        <w:rPr>
          <w:sz w:val="22"/>
          <w:szCs w:val="22"/>
        </w:rPr>
      </w:pPr>
    </w:p>
    <w:p w14:paraId="637B7116" w14:textId="518EF8CB" w:rsidR="00727D2C" w:rsidRPr="00685757" w:rsidRDefault="002D08F0">
      <w:pPr>
        <w:rPr>
          <w:sz w:val="22"/>
          <w:szCs w:val="22"/>
          <w:lang w:eastAsia="en-US"/>
        </w:rPr>
      </w:pPr>
      <w:r w:rsidRPr="00685757">
        <w:rPr>
          <w:sz w:val="22"/>
          <w:szCs w:val="22"/>
          <w:lang w:eastAsia="en-US"/>
        </w:rPr>
        <w:t xml:space="preserve">KLASA: </w:t>
      </w:r>
      <w:r w:rsidR="00E4074C" w:rsidRPr="00685757">
        <w:rPr>
          <w:sz w:val="22"/>
          <w:szCs w:val="22"/>
          <w:lang w:eastAsia="en-US"/>
        </w:rPr>
        <w:t>007-04/23-02/05</w:t>
      </w:r>
    </w:p>
    <w:p w14:paraId="637B7117" w14:textId="351F2084" w:rsidR="00727D2C" w:rsidRPr="00685757" w:rsidRDefault="002D08F0">
      <w:pPr>
        <w:rPr>
          <w:sz w:val="22"/>
          <w:szCs w:val="22"/>
          <w:lang w:eastAsia="en-US"/>
        </w:rPr>
      </w:pPr>
      <w:r w:rsidRPr="00685757">
        <w:rPr>
          <w:sz w:val="22"/>
          <w:szCs w:val="22"/>
          <w:lang w:eastAsia="en-US"/>
        </w:rPr>
        <w:t>URBROJ: 251-94-08-</w:t>
      </w:r>
      <w:r w:rsidR="00E4074C" w:rsidRPr="00685757">
        <w:rPr>
          <w:sz w:val="22"/>
          <w:szCs w:val="22"/>
          <w:lang w:eastAsia="en-US"/>
        </w:rPr>
        <w:t>23-2</w:t>
      </w:r>
    </w:p>
    <w:p w14:paraId="637B7118" w14:textId="35A295BD" w:rsidR="00727D2C" w:rsidRPr="00685757" w:rsidRDefault="002D08F0">
      <w:pPr>
        <w:jc w:val="both"/>
        <w:rPr>
          <w:sz w:val="22"/>
          <w:szCs w:val="22"/>
        </w:rPr>
      </w:pPr>
      <w:r w:rsidRPr="00685757">
        <w:rPr>
          <w:sz w:val="22"/>
          <w:szCs w:val="22"/>
        </w:rPr>
        <w:t xml:space="preserve">Zagreb, </w:t>
      </w:r>
      <w:r w:rsidR="002D15DA" w:rsidRPr="00685757">
        <w:rPr>
          <w:sz w:val="22"/>
          <w:szCs w:val="22"/>
        </w:rPr>
        <w:t>6. listopada 2023</w:t>
      </w:r>
      <w:r w:rsidRPr="00685757">
        <w:rPr>
          <w:sz w:val="22"/>
          <w:szCs w:val="22"/>
        </w:rPr>
        <w:t>.</w:t>
      </w:r>
    </w:p>
    <w:p w14:paraId="637B7119" w14:textId="77777777" w:rsidR="00727D2C" w:rsidRPr="00685757" w:rsidRDefault="00727D2C">
      <w:pPr>
        <w:jc w:val="both"/>
        <w:rPr>
          <w:sz w:val="22"/>
          <w:szCs w:val="22"/>
        </w:rPr>
      </w:pPr>
    </w:p>
    <w:p w14:paraId="637B711C" w14:textId="77777777" w:rsidR="00727D2C" w:rsidRPr="00685757" w:rsidRDefault="00727D2C">
      <w:pPr>
        <w:jc w:val="both"/>
        <w:rPr>
          <w:sz w:val="22"/>
          <w:szCs w:val="22"/>
        </w:rPr>
      </w:pPr>
    </w:p>
    <w:p w14:paraId="637B711D" w14:textId="10F98023" w:rsidR="00727D2C" w:rsidRPr="00685757" w:rsidRDefault="002D08F0" w:rsidP="002D15DA">
      <w:pPr>
        <w:ind w:left="5529"/>
        <w:rPr>
          <w:sz w:val="22"/>
          <w:szCs w:val="22"/>
        </w:rPr>
      </w:pPr>
      <w:r w:rsidRPr="00685757">
        <w:rPr>
          <w:sz w:val="22"/>
          <w:szCs w:val="22"/>
        </w:rPr>
        <w:t>PREDSJEDNI</w:t>
      </w:r>
      <w:r w:rsidR="002D15DA" w:rsidRPr="00685757">
        <w:rPr>
          <w:sz w:val="22"/>
          <w:szCs w:val="22"/>
        </w:rPr>
        <w:t>K</w:t>
      </w:r>
      <w:r w:rsidRPr="00685757">
        <w:rPr>
          <w:sz w:val="22"/>
          <w:szCs w:val="22"/>
        </w:rPr>
        <w:t xml:space="preserve"> ŠKOLSKOG ODBORA</w:t>
      </w:r>
    </w:p>
    <w:p w14:paraId="637B711E" w14:textId="3F23C0C9" w:rsidR="00727D2C" w:rsidRPr="00685757" w:rsidRDefault="002D15DA" w:rsidP="002D15DA">
      <w:pPr>
        <w:ind w:left="5529"/>
        <w:rPr>
          <w:sz w:val="22"/>
          <w:szCs w:val="22"/>
        </w:rPr>
      </w:pPr>
      <w:r w:rsidRPr="00685757">
        <w:rPr>
          <w:sz w:val="22"/>
          <w:szCs w:val="22"/>
        </w:rPr>
        <w:t>Krešimir Gracin, prof</w:t>
      </w:r>
      <w:r w:rsidR="002D08F0" w:rsidRPr="00685757">
        <w:rPr>
          <w:sz w:val="22"/>
          <w:szCs w:val="22"/>
        </w:rPr>
        <w:t>.</w:t>
      </w:r>
      <w:r w:rsidRPr="00685757">
        <w:rPr>
          <w:sz w:val="22"/>
          <w:szCs w:val="22"/>
        </w:rPr>
        <w:t xml:space="preserve"> savjetnik</w:t>
      </w:r>
    </w:p>
    <w:p w14:paraId="59A7C36C" w14:textId="1400EF5D" w:rsidR="00685757" w:rsidRPr="00685757" w:rsidRDefault="00685757" w:rsidP="002D15DA">
      <w:pPr>
        <w:ind w:left="5529"/>
        <w:rPr>
          <w:sz w:val="22"/>
          <w:szCs w:val="22"/>
        </w:rPr>
      </w:pPr>
    </w:p>
    <w:p w14:paraId="02EB7032" w14:textId="1D3BE47D" w:rsidR="00685757" w:rsidRPr="00685757" w:rsidRDefault="00685757" w:rsidP="002D15DA">
      <w:pPr>
        <w:ind w:left="5529"/>
        <w:rPr>
          <w:sz w:val="22"/>
          <w:szCs w:val="22"/>
        </w:rPr>
      </w:pPr>
    </w:p>
    <w:p w14:paraId="1DB95D57" w14:textId="6B3E997C" w:rsidR="00685757" w:rsidRPr="00685757" w:rsidRDefault="00685757" w:rsidP="002D15DA">
      <w:pPr>
        <w:ind w:left="5529"/>
        <w:rPr>
          <w:sz w:val="22"/>
          <w:szCs w:val="22"/>
        </w:rPr>
      </w:pPr>
    </w:p>
    <w:p w14:paraId="5B9323CE" w14:textId="36D1761F" w:rsidR="00685757" w:rsidRPr="00685757" w:rsidRDefault="00685757" w:rsidP="002D15DA">
      <w:pPr>
        <w:ind w:left="5529"/>
        <w:rPr>
          <w:sz w:val="22"/>
          <w:szCs w:val="22"/>
        </w:rPr>
      </w:pPr>
    </w:p>
    <w:p w14:paraId="1CAD4666" w14:textId="3E72874E" w:rsidR="00685757" w:rsidRPr="00685757" w:rsidRDefault="00685757" w:rsidP="002D15DA">
      <w:pPr>
        <w:ind w:left="5529"/>
        <w:rPr>
          <w:sz w:val="22"/>
          <w:szCs w:val="22"/>
        </w:rPr>
      </w:pPr>
    </w:p>
    <w:p w14:paraId="4ABD836B" w14:textId="63676FAB" w:rsidR="00685757" w:rsidRPr="00685757" w:rsidRDefault="00685757" w:rsidP="002D15DA">
      <w:pPr>
        <w:ind w:left="5529"/>
        <w:rPr>
          <w:sz w:val="22"/>
          <w:szCs w:val="22"/>
        </w:rPr>
      </w:pPr>
    </w:p>
    <w:p w14:paraId="3D58D0FC" w14:textId="0E1E0DFE" w:rsidR="00685757" w:rsidRDefault="00685757" w:rsidP="00685757">
      <w:pPr>
        <w:jc w:val="both"/>
        <w:rPr>
          <w:sz w:val="22"/>
          <w:szCs w:val="22"/>
        </w:rPr>
      </w:pPr>
      <w:r>
        <w:rPr>
          <w:sz w:val="22"/>
          <w:szCs w:val="22"/>
        </w:rPr>
        <w:t>Ovaj Pravilnik je donesen, stupio na snagu i objavljen na mrežnoj stanici Škole 6. listopada 2023. godine.</w:t>
      </w:r>
    </w:p>
    <w:p w14:paraId="320B87B1" w14:textId="7F615089" w:rsidR="00685757" w:rsidRDefault="00685757" w:rsidP="00685757">
      <w:pPr>
        <w:rPr>
          <w:sz w:val="22"/>
          <w:szCs w:val="22"/>
        </w:rPr>
      </w:pPr>
    </w:p>
    <w:p w14:paraId="535BA3A9" w14:textId="17BD4ABB" w:rsidR="00685757" w:rsidRDefault="00685757" w:rsidP="00685757">
      <w:pPr>
        <w:rPr>
          <w:sz w:val="22"/>
          <w:szCs w:val="22"/>
        </w:rPr>
      </w:pPr>
    </w:p>
    <w:p w14:paraId="20004167" w14:textId="03AC9199" w:rsidR="00685757" w:rsidRPr="00685757" w:rsidRDefault="00685757" w:rsidP="00685757">
      <w:pPr>
        <w:ind w:left="5529"/>
        <w:rPr>
          <w:sz w:val="22"/>
          <w:szCs w:val="22"/>
        </w:rPr>
      </w:pPr>
      <w:r>
        <w:rPr>
          <w:sz w:val="22"/>
          <w:szCs w:val="22"/>
        </w:rPr>
        <w:t>RAVNATELJ</w:t>
      </w:r>
    </w:p>
    <w:p w14:paraId="2E94C8A6" w14:textId="121567E6" w:rsidR="00685757" w:rsidRPr="00685757" w:rsidRDefault="00685757" w:rsidP="00685757">
      <w:pPr>
        <w:ind w:left="5529"/>
        <w:rPr>
          <w:sz w:val="22"/>
          <w:szCs w:val="22"/>
        </w:rPr>
      </w:pPr>
      <w:bookmarkStart w:id="0" w:name="_GoBack"/>
      <w:bookmarkEnd w:id="0"/>
      <w:r>
        <w:rPr>
          <w:sz w:val="22"/>
          <w:szCs w:val="22"/>
        </w:rPr>
        <w:t>Nikola Dmitrović, prof.</w:t>
      </w:r>
    </w:p>
    <w:p w14:paraId="53E8AB4B" w14:textId="77777777" w:rsidR="00685757" w:rsidRPr="00685757" w:rsidRDefault="00685757" w:rsidP="00685757">
      <w:pPr>
        <w:rPr>
          <w:sz w:val="22"/>
          <w:szCs w:val="22"/>
        </w:rPr>
      </w:pPr>
    </w:p>
    <w:p w14:paraId="6BBC04C6" w14:textId="77777777" w:rsidR="00685757" w:rsidRPr="00685757" w:rsidRDefault="00685757" w:rsidP="002D15DA">
      <w:pPr>
        <w:ind w:left="5529"/>
        <w:rPr>
          <w:sz w:val="22"/>
          <w:szCs w:val="22"/>
        </w:rPr>
      </w:pPr>
    </w:p>
    <w:sectPr w:rsidR="00685757" w:rsidRPr="00685757" w:rsidSect="0091136E">
      <w:footerReference w:type="default" r:id="rId12"/>
      <w:pgSz w:w="11906" w:h="16838"/>
      <w:pgMar w:top="851" w:right="1416"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B703A" w14:textId="77777777" w:rsidR="00C447A3" w:rsidRDefault="002D08F0">
      <w:r>
        <w:separator/>
      </w:r>
    </w:p>
  </w:endnote>
  <w:endnote w:type="continuationSeparator" w:id="0">
    <w:p w14:paraId="637B703C" w14:textId="77777777" w:rsidR="00C447A3" w:rsidRDefault="002D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703E" w14:textId="77777777" w:rsidR="006F30B8" w:rsidRDefault="002D08F0">
    <w:pPr>
      <w:pStyle w:val="Footer"/>
    </w:pPr>
    <w:r>
      <w:rPr>
        <w:noProof/>
      </w:rPr>
      <mc:AlternateContent>
        <mc:Choice Requires="wps">
          <w:drawing>
            <wp:anchor distT="0" distB="0" distL="114300" distR="114300" simplePos="0" relativeHeight="251658240" behindDoc="0" locked="0" layoutInCell="1" allowOverlap="1" wp14:anchorId="637B7036" wp14:editId="637B7037">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637B7038" w14:textId="79871165" w:rsidR="006F30B8" w:rsidRDefault="00E10CA9">
                          <w:pPr>
                            <w:pStyle w:val="Footer"/>
                          </w:pPr>
                        </w:p>
                      </w:txbxContent>
                    </wps:txbx>
                    <wps:bodyPr wrap="none" lIns="0" tIns="0" rIns="0" bIns="0">
                      <a:spAutoFit/>
                    </wps:bodyPr>
                  </wps:wsp>
                </a:graphicData>
              </a:graphic>
            </wp:anchor>
          </w:drawing>
        </mc:Choice>
        <mc:Fallback>
          <w:pict>
            <v:shapetype w14:anchorId="637B7036" id="_x0000_t202" coordsize="21600,21600" o:spt="202" path="m,l,21600r21600,l21600,xe">
              <v:stroke joinstyle="miter"/>
              <v:path gradientshapeok="t" o:connecttype="rect"/>
            </v:shapetype>
            <v:shape id="Text Box 1" o:spid="_x0000_s1026" type="#_x0000_t202" style="position:absolute;margin-left:0;margin-top:.05pt;width:0;height:0;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637B7038" w14:textId="79871165" w:rsidR="006F30B8" w:rsidRDefault="00E10CA9">
                    <w:pPr>
                      <w:pStyle w:val="Foo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7036" w14:textId="77777777" w:rsidR="00C447A3" w:rsidRDefault="002D08F0">
      <w:r>
        <w:rPr>
          <w:color w:val="000000"/>
        </w:rPr>
        <w:separator/>
      </w:r>
    </w:p>
  </w:footnote>
  <w:footnote w:type="continuationSeparator" w:id="0">
    <w:p w14:paraId="637B7038" w14:textId="77777777" w:rsidR="00C447A3" w:rsidRDefault="002D0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05CE6"/>
    <w:multiLevelType w:val="multilevel"/>
    <w:tmpl w:val="6A4E8E48"/>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2C"/>
    <w:rsid w:val="002918D0"/>
    <w:rsid w:val="002D08F0"/>
    <w:rsid w:val="002D15DA"/>
    <w:rsid w:val="00357EBA"/>
    <w:rsid w:val="00685757"/>
    <w:rsid w:val="00727D2C"/>
    <w:rsid w:val="00867461"/>
    <w:rsid w:val="0091136E"/>
    <w:rsid w:val="00C447A3"/>
    <w:rsid w:val="00E10CA9"/>
    <w:rsid w:val="00E407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B7032"/>
  <w15:docId w15:val="{3A10639C-11A0-4013-AE51-731145B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Pr>
      <w:b/>
      <w:bCs/>
    </w:rPr>
  </w:style>
  <w:style w:type="character" w:customStyle="1" w:styleId="ja-social-bookmarking1">
    <w:name w:val="ja-social-bookmarking1"/>
    <w:basedOn w:val="DefaultParagraphFont"/>
  </w:style>
  <w:style w:type="paragraph" w:customStyle="1" w:styleId="t-9-8">
    <w:name w:val="t-9-8"/>
    <w:basedOn w:val="Normal"/>
    <w:pPr>
      <w:spacing w:before="100" w:after="100"/>
    </w:pPr>
  </w:style>
  <w:style w:type="character" w:customStyle="1" w:styleId="BodyTextChar">
    <w:name w:val="Body Text Char"/>
    <w:rPr>
      <w:sz w:val="24"/>
      <w:szCs w:val="24"/>
      <w:lang w:val="hr-HR" w:eastAsia="hr-HR" w:bidi="ar-SA"/>
    </w:rPr>
  </w:style>
  <w:style w:type="paragraph" w:styleId="BodyText">
    <w:name w:val="Body Text"/>
    <w:basedOn w:val="Normal"/>
    <w:pPr>
      <w:jc w:val="both"/>
    </w:pPr>
  </w:style>
  <w:style w:type="paragraph" w:styleId="NormalWeb">
    <w:name w:val="Normal (Web)"/>
    <w:basedOn w:val="Normal"/>
    <w:pPr>
      <w:spacing w:line="288" w:lineRule="atLeast"/>
    </w:pPr>
    <w:rPr>
      <w:rFonts w:ascii="Tahoma" w:hAnsi="Tahoma" w:cs="Tahoma"/>
      <w:color w:val="666666"/>
      <w:sz w:val="17"/>
      <w:szCs w:val="17"/>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NoSpacing">
    <w:name w:val="No Spacing"/>
    <w:pPr>
      <w:suppressAutoHyphens/>
    </w:pPr>
    <w:rPr>
      <w:rFonts w:ascii="Calibri" w:eastAsia="Calibri" w:hAnsi="Calibri"/>
      <w:sz w:val="22"/>
      <w:szCs w:val="22"/>
      <w:lang w:eastAsia="en-US"/>
    </w:rPr>
  </w:style>
  <w:style w:type="paragraph" w:styleId="Header">
    <w:name w:val="header"/>
    <w:basedOn w:val="Normal"/>
    <w:link w:val="HeaderChar"/>
    <w:uiPriority w:val="99"/>
    <w:unhideWhenUsed/>
    <w:rsid w:val="0091136E"/>
    <w:pPr>
      <w:tabs>
        <w:tab w:val="center" w:pos="4536"/>
        <w:tab w:val="right" w:pos="9072"/>
      </w:tabs>
    </w:pPr>
  </w:style>
  <w:style w:type="character" w:customStyle="1" w:styleId="HeaderChar">
    <w:name w:val="Header Char"/>
    <w:basedOn w:val="DefaultParagraphFont"/>
    <w:link w:val="Header"/>
    <w:uiPriority w:val="99"/>
    <w:rsid w:val="0091136E"/>
    <w:rPr>
      <w:sz w:val="24"/>
      <w:szCs w:val="24"/>
    </w:rPr>
  </w:style>
  <w:style w:type="paragraph" w:styleId="ListParagraph">
    <w:name w:val="List Paragraph"/>
    <w:basedOn w:val="Normal"/>
    <w:uiPriority w:val="34"/>
    <w:qFormat/>
    <w:rsid w:val="00357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6" ma:contentTypeDescription="Stvaranje novog dokumenta." ma:contentTypeScope="" ma:versionID="b6452da1525cb4e9047c0c7fc434a24f">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d15391f91f1b4a6204b3defe28862bf9"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0AA4CE46-933D-47AE-B821-26E41E500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E61C5-D2B1-415F-8B84-C6C17B55DAA5}">
  <ds:schemaRefs>
    <ds:schemaRef ds:uri="http://schemas.microsoft.com/sharepoint/v3/contenttype/forms"/>
  </ds:schemaRefs>
</ds:datastoreItem>
</file>

<file path=customXml/itemProps3.xml><?xml version="1.0" encoding="utf-8"?>
<ds:datastoreItem xmlns:ds="http://schemas.openxmlformats.org/officeDocument/2006/customXml" ds:itemID="{5FD0A9A6-C366-4CFD-BCDD-757680D62B77}">
  <ds:schemaRefs>
    <ds:schemaRef ds:uri="http://purl.org/dc/terms/"/>
    <ds:schemaRef ds:uri="e63f7203-675c-42d8-97de-749724be3d9b"/>
    <ds:schemaRef ds:uri="dca18350-ba64-4a63-885e-c867f46a5475"/>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Varaždin, 02</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Varaždin, 02</dc:title>
  <dc:subject/>
  <dc:creator>Antonio Matošević</dc:creator>
  <cp:lastModifiedBy>Antonio Matošević</cp:lastModifiedBy>
  <cp:revision>3</cp:revision>
  <cp:lastPrinted>2014-04-09T10:51:00Z</cp:lastPrinted>
  <dcterms:created xsi:type="dcterms:W3CDTF">2023-10-09T14:11:00Z</dcterms:created>
  <dcterms:modified xsi:type="dcterms:W3CDTF">2023-10-10T14:21:00Z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