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03"/>
        <w:gridCol w:w="2268"/>
      </w:tblGrid>
      <w:tr w:rsidR="002A5EE1" w14:paraId="32414D5F" w14:textId="77777777" w:rsidTr="009979C8">
        <w:tc>
          <w:tcPr>
            <w:tcW w:w="2518" w:type="dxa"/>
          </w:tcPr>
          <w:p w14:paraId="4F3C4FAB" w14:textId="77777777" w:rsidR="002A5EE1" w:rsidRDefault="002A5EE1" w:rsidP="009979C8">
            <w:pPr>
              <w:jc w:val="center"/>
              <w:rPr>
                <w:sz w:val="36"/>
                <w:szCs w:val="36"/>
              </w:rPr>
            </w:pPr>
            <w:r>
              <w:rPr>
                <w:noProof/>
                <w:sz w:val="36"/>
                <w:szCs w:val="36"/>
                <w:lang w:eastAsia="hr-HR"/>
              </w:rPr>
              <w:drawing>
                <wp:anchor distT="0" distB="0" distL="114300" distR="114300" simplePos="0" relativeHeight="251659264" behindDoc="0" locked="0" layoutInCell="1" allowOverlap="1" wp14:anchorId="0E41FCC6" wp14:editId="148AE171">
                  <wp:simplePos x="0" y="0"/>
                  <wp:positionH relativeFrom="column">
                    <wp:posOffset>108585</wp:posOffset>
                  </wp:positionH>
                  <wp:positionV relativeFrom="paragraph">
                    <wp:posOffset>209550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Align w:val="center"/>
          </w:tcPr>
          <w:p w14:paraId="57C9447D" w14:textId="77777777" w:rsidR="002A5EE1" w:rsidRPr="00751892" w:rsidRDefault="002A5EE1" w:rsidP="009979C8">
            <w:pPr>
              <w:spacing w:line="276" w:lineRule="auto"/>
              <w:jc w:val="center"/>
              <w:rPr>
                <w:rFonts w:ascii="Microsoft New Tai Lue" w:eastAsia="Arial Unicode MS" w:hAnsi="Microsoft New Tai Lue" w:cs="Microsoft New Tai Lue"/>
                <w:sz w:val="26"/>
                <w:szCs w:val="26"/>
              </w:rPr>
            </w:pPr>
            <w:r w:rsidRPr="00751892">
              <w:rPr>
                <w:rFonts w:ascii="Microsoft New Tai Lue" w:eastAsia="Arial Unicode MS" w:hAnsi="Microsoft New Tai Lue" w:cs="Microsoft New Tai Lue"/>
                <w:sz w:val="26"/>
                <w:szCs w:val="26"/>
              </w:rPr>
              <w:t>Republika Hrvatska</w:t>
            </w:r>
          </w:p>
          <w:p w14:paraId="5F55426E" w14:textId="77777777" w:rsidR="002A5EE1" w:rsidRPr="00751892" w:rsidRDefault="002A5EE1" w:rsidP="009979C8">
            <w:pPr>
              <w:spacing w:line="276" w:lineRule="auto"/>
              <w:jc w:val="center"/>
              <w:rPr>
                <w:rFonts w:ascii="Microsoft New Tai Lue" w:eastAsia="Arial Unicode MS" w:hAnsi="Microsoft New Tai Lue" w:cs="Microsoft New Tai Lue"/>
                <w:b/>
                <w:sz w:val="36"/>
                <w:szCs w:val="36"/>
              </w:rPr>
            </w:pPr>
            <w:r w:rsidRPr="00751892">
              <w:rPr>
                <w:rFonts w:ascii="Microsoft New Tai Lue" w:eastAsia="Arial Unicode MS" w:hAnsi="Microsoft New Tai Lue" w:cs="Microsoft New Tai Lue"/>
                <w:b/>
                <w:sz w:val="36"/>
                <w:szCs w:val="36"/>
              </w:rPr>
              <w:t>XV. gimnazija</w:t>
            </w:r>
          </w:p>
          <w:p w14:paraId="64E259B0" w14:textId="77777777" w:rsidR="002A5EE1" w:rsidRPr="00751892" w:rsidRDefault="002A5EE1" w:rsidP="009979C8">
            <w:pPr>
              <w:spacing w:line="276" w:lineRule="auto"/>
              <w:jc w:val="center"/>
              <w:rPr>
                <w:rFonts w:ascii="Microsoft New Tai Lue" w:eastAsia="Arial Unicode MS" w:hAnsi="Microsoft New Tai Lue" w:cs="Microsoft New Tai Lue"/>
                <w:sz w:val="28"/>
                <w:szCs w:val="28"/>
              </w:rPr>
            </w:pPr>
            <w:r w:rsidRPr="00751892">
              <w:rPr>
                <w:rFonts w:ascii="Microsoft New Tai Lue" w:eastAsia="Arial Unicode MS" w:hAnsi="Microsoft New Tai Lue" w:cs="Microsoft New Tai Lue"/>
                <w:sz w:val="28"/>
                <w:szCs w:val="28"/>
              </w:rPr>
              <w:t xml:space="preserve">IB World </w:t>
            </w:r>
            <w:proofErr w:type="spellStart"/>
            <w:r w:rsidRPr="00751892">
              <w:rPr>
                <w:rFonts w:ascii="Microsoft New Tai Lue" w:eastAsia="Arial Unicode MS" w:hAnsi="Microsoft New Tai Lue" w:cs="Microsoft New Tai Lue"/>
                <w:sz w:val="28"/>
                <w:szCs w:val="28"/>
              </w:rPr>
              <w:t>School</w:t>
            </w:r>
            <w:proofErr w:type="spellEnd"/>
          </w:p>
          <w:p w14:paraId="5A97AC12" w14:textId="77777777" w:rsidR="002A5EE1" w:rsidRPr="009110F0" w:rsidRDefault="002A5EE1" w:rsidP="009979C8">
            <w:pPr>
              <w:spacing w:line="276" w:lineRule="auto"/>
              <w:jc w:val="center"/>
              <w:rPr>
                <w:sz w:val="24"/>
                <w:szCs w:val="24"/>
              </w:rPr>
            </w:pPr>
            <w:r w:rsidRPr="00751892">
              <w:rPr>
                <w:rFonts w:ascii="Microsoft New Tai Lue" w:eastAsia="Arial Unicode MS" w:hAnsi="Microsoft New Tai Lue" w:cs="Microsoft New Tai Lue"/>
                <w:sz w:val="24"/>
                <w:szCs w:val="24"/>
              </w:rPr>
              <w:t xml:space="preserve">Zagreb, </w:t>
            </w:r>
            <w:proofErr w:type="spellStart"/>
            <w:r w:rsidRPr="00751892">
              <w:rPr>
                <w:rFonts w:ascii="Microsoft New Tai Lue" w:eastAsia="Arial Unicode MS" w:hAnsi="Microsoft New Tai Lue" w:cs="Microsoft New Tai Lue"/>
                <w:sz w:val="24"/>
                <w:szCs w:val="24"/>
              </w:rPr>
              <w:t>Jordanovac</w:t>
            </w:r>
            <w:proofErr w:type="spellEnd"/>
            <w:r w:rsidRPr="00751892">
              <w:rPr>
                <w:rFonts w:ascii="Microsoft New Tai Lue" w:eastAsia="Arial Unicode MS" w:hAnsi="Microsoft New Tai Lue" w:cs="Microsoft New Tai Lue"/>
                <w:sz w:val="24"/>
                <w:szCs w:val="24"/>
              </w:rPr>
              <w:t xml:space="preserve"> 8</w:t>
            </w:r>
          </w:p>
        </w:tc>
        <w:tc>
          <w:tcPr>
            <w:tcW w:w="2268" w:type="dxa"/>
          </w:tcPr>
          <w:p w14:paraId="07B12767" w14:textId="77777777" w:rsidR="002A5EE1" w:rsidRDefault="002A5EE1" w:rsidP="009979C8">
            <w:pPr>
              <w:jc w:val="center"/>
              <w:rPr>
                <w:sz w:val="36"/>
                <w:szCs w:val="36"/>
              </w:rPr>
            </w:pPr>
            <w:r>
              <w:rPr>
                <w:noProof/>
                <w:sz w:val="36"/>
                <w:szCs w:val="36"/>
                <w:lang w:eastAsia="hr-HR"/>
              </w:rPr>
              <w:drawing>
                <wp:anchor distT="0" distB="0" distL="114300" distR="114300" simplePos="0" relativeHeight="251660288" behindDoc="0" locked="0" layoutInCell="1" allowOverlap="1" wp14:anchorId="2EF777A8" wp14:editId="66B62612">
                  <wp:simplePos x="0" y="0"/>
                  <wp:positionH relativeFrom="column">
                    <wp:posOffset>184150</wp:posOffset>
                  </wp:positionH>
                  <wp:positionV relativeFrom="paragraph">
                    <wp:posOffset>329565</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tc>
      </w:tr>
    </w:tbl>
    <w:p w14:paraId="36F6A6DC" w14:textId="77777777" w:rsidR="00F4193F" w:rsidRDefault="00F4193F" w:rsidP="00510943">
      <w:pPr>
        <w:jc w:val="both"/>
        <w:rPr>
          <w:rFonts w:ascii="Times New Roman" w:hAnsi="Times New Roman" w:cs="Times New Roman"/>
        </w:rPr>
      </w:pPr>
    </w:p>
    <w:p w14:paraId="3F1C4291" w14:textId="155D4A43" w:rsidR="00510943" w:rsidRDefault="00510943" w:rsidP="00510943">
      <w:pPr>
        <w:jc w:val="both"/>
        <w:rPr>
          <w:rFonts w:ascii="Times New Roman" w:hAnsi="Times New Roman" w:cs="Times New Roman"/>
        </w:rPr>
      </w:pPr>
      <w:r w:rsidRPr="00BB390B">
        <w:rPr>
          <w:rFonts w:ascii="Times New Roman" w:hAnsi="Times New Roman" w:cs="Times New Roman"/>
        </w:rPr>
        <w:t xml:space="preserve">Na temelju članka 29., stavka 1., točke 3., alineje </w:t>
      </w:r>
      <w:r w:rsidR="00F4193F">
        <w:rPr>
          <w:rFonts w:ascii="Times New Roman" w:hAnsi="Times New Roman" w:cs="Times New Roman"/>
        </w:rPr>
        <w:t>10</w:t>
      </w:r>
      <w:r w:rsidRPr="00BB390B">
        <w:rPr>
          <w:rFonts w:ascii="Times New Roman" w:hAnsi="Times New Roman" w:cs="Times New Roman"/>
        </w:rPr>
        <w:t>. Statuta XV. gimnazije, KLASA: 012-03/19-01/02, URBROJ: 251-94-08-19-1 od 18. ožujka 2019., KLASA: 012-03/20-01/01, URBROJ: 251-94-08-20-4 od 29. travnja 2020., Školski odbor XV. gimnazije</w:t>
      </w:r>
      <w:r w:rsidRPr="00BB390B">
        <w:rPr>
          <w:rFonts w:ascii="Times New Roman" w:hAnsi="Times New Roman" w:cs="Times New Roman"/>
          <w:i/>
          <w:color w:val="FF0000"/>
        </w:rPr>
        <w:t xml:space="preserve"> </w:t>
      </w:r>
      <w:r w:rsidRPr="00BB390B">
        <w:rPr>
          <w:rFonts w:ascii="Times New Roman" w:hAnsi="Times New Roman" w:cs="Times New Roman"/>
        </w:rPr>
        <w:t xml:space="preserve">na </w:t>
      </w:r>
      <w:r w:rsidR="00F4193F">
        <w:rPr>
          <w:rFonts w:ascii="Times New Roman" w:hAnsi="Times New Roman" w:cs="Times New Roman"/>
        </w:rPr>
        <w:t>22</w:t>
      </w:r>
      <w:r w:rsidRPr="00BB390B">
        <w:rPr>
          <w:rFonts w:ascii="Times New Roman" w:hAnsi="Times New Roman" w:cs="Times New Roman"/>
        </w:rPr>
        <w:t xml:space="preserve">. sjednici održanoj dana </w:t>
      </w:r>
      <w:r w:rsidR="00F4193F">
        <w:rPr>
          <w:rFonts w:ascii="Times New Roman" w:hAnsi="Times New Roman" w:cs="Times New Roman"/>
        </w:rPr>
        <w:t>30. lipnja</w:t>
      </w:r>
      <w:r w:rsidRPr="00BB390B">
        <w:rPr>
          <w:rFonts w:ascii="Times New Roman" w:hAnsi="Times New Roman" w:cs="Times New Roman"/>
        </w:rPr>
        <w:t xml:space="preserve"> 2022. donosi</w:t>
      </w:r>
    </w:p>
    <w:p w14:paraId="3A329329" w14:textId="77777777" w:rsidR="00C3023C" w:rsidRDefault="00C3023C" w:rsidP="00C3023C">
      <w:pPr>
        <w:pStyle w:val="NoSpacing"/>
        <w:rPr>
          <w:rFonts w:ascii="Garamond" w:hAnsi="Garamond"/>
          <w:sz w:val="24"/>
          <w:szCs w:val="24"/>
        </w:rPr>
      </w:pPr>
    </w:p>
    <w:p w14:paraId="4144679B" w14:textId="77777777" w:rsidR="00510943" w:rsidRPr="00510943" w:rsidRDefault="00510943" w:rsidP="00510943">
      <w:pPr>
        <w:pStyle w:val="NoSpacing"/>
        <w:jc w:val="center"/>
        <w:rPr>
          <w:rFonts w:ascii="Times New Roman" w:hAnsi="Times New Roman" w:cs="Times New Roman"/>
          <w:b/>
          <w:sz w:val="24"/>
          <w:szCs w:val="24"/>
        </w:rPr>
      </w:pPr>
      <w:r w:rsidRPr="00510943">
        <w:rPr>
          <w:rFonts w:ascii="Times New Roman" w:hAnsi="Times New Roman" w:cs="Times New Roman"/>
          <w:b/>
          <w:sz w:val="24"/>
          <w:szCs w:val="24"/>
        </w:rPr>
        <w:t>PROCEDURU KORIŠTENJA VLASTITIH PRIHODA XV. GIMNAZIJE</w:t>
      </w:r>
    </w:p>
    <w:p w14:paraId="78478BBC" w14:textId="77777777" w:rsidR="00510943" w:rsidRDefault="00510943" w:rsidP="00510943">
      <w:pPr>
        <w:pStyle w:val="NoSpacing"/>
        <w:jc w:val="center"/>
        <w:rPr>
          <w:rFonts w:ascii="Garamond" w:hAnsi="Garamond"/>
          <w:b/>
          <w:sz w:val="24"/>
          <w:szCs w:val="24"/>
        </w:rPr>
      </w:pPr>
    </w:p>
    <w:p w14:paraId="6BC890BF" w14:textId="77777777" w:rsidR="00510943" w:rsidRPr="00510943" w:rsidRDefault="00510943" w:rsidP="00510943">
      <w:pPr>
        <w:pStyle w:val="NoSpacing"/>
        <w:jc w:val="center"/>
        <w:rPr>
          <w:rFonts w:ascii="Garamond" w:hAnsi="Garamond"/>
          <w:b/>
          <w:sz w:val="24"/>
          <w:szCs w:val="24"/>
        </w:rPr>
      </w:pPr>
    </w:p>
    <w:p w14:paraId="4954C939" w14:textId="77777777" w:rsidR="00510943" w:rsidRDefault="00510943" w:rsidP="00510943">
      <w:pPr>
        <w:jc w:val="center"/>
        <w:rPr>
          <w:rFonts w:ascii="Times New Roman" w:hAnsi="Times New Roman" w:cs="Times New Roman"/>
        </w:rPr>
      </w:pPr>
      <w:r>
        <w:rPr>
          <w:rFonts w:ascii="Times New Roman" w:hAnsi="Times New Roman" w:cs="Times New Roman"/>
        </w:rPr>
        <w:t>Članak 1.</w:t>
      </w:r>
    </w:p>
    <w:p w14:paraId="54B8705D" w14:textId="5C126920" w:rsidR="00510943" w:rsidRDefault="00F761C5" w:rsidP="00510943">
      <w:pPr>
        <w:jc w:val="both"/>
        <w:rPr>
          <w:rFonts w:ascii="Times New Roman" w:hAnsi="Times New Roman" w:cs="Times New Roman"/>
        </w:rPr>
      </w:pPr>
      <w:r>
        <w:rPr>
          <w:rFonts w:ascii="Times New Roman" w:hAnsi="Times New Roman" w:cs="Times New Roman"/>
        </w:rPr>
        <w:t xml:space="preserve">(1) </w:t>
      </w:r>
      <w:r w:rsidR="00510943">
        <w:rPr>
          <w:rFonts w:ascii="Times New Roman" w:hAnsi="Times New Roman" w:cs="Times New Roman"/>
        </w:rPr>
        <w:t>Ovom Procedurom</w:t>
      </w:r>
      <w:r w:rsidR="00BB390B">
        <w:rPr>
          <w:rFonts w:ascii="Times New Roman" w:hAnsi="Times New Roman" w:cs="Times New Roman"/>
        </w:rPr>
        <w:t xml:space="preserve"> korištenja vlastitih prihoda XV. gimnazije (u daljnjem tekstu: Procedura)</w:t>
      </w:r>
      <w:r w:rsidR="00510943">
        <w:rPr>
          <w:rFonts w:ascii="Times New Roman" w:hAnsi="Times New Roman" w:cs="Times New Roman"/>
        </w:rPr>
        <w:t xml:space="preserve"> uređuje</w:t>
      </w:r>
      <w:r w:rsidR="004D1741">
        <w:rPr>
          <w:rFonts w:ascii="Times New Roman" w:hAnsi="Times New Roman" w:cs="Times New Roman"/>
        </w:rPr>
        <w:t xml:space="preserve"> se korištenje vlastitih prihoda XV. gimnazije</w:t>
      </w:r>
      <w:r>
        <w:rPr>
          <w:rFonts w:ascii="Times New Roman" w:hAnsi="Times New Roman" w:cs="Times New Roman"/>
        </w:rPr>
        <w:t xml:space="preserve"> (u daljnjem tekstu: Škola).</w:t>
      </w:r>
    </w:p>
    <w:p w14:paraId="1DF55A21" w14:textId="01B2EB12" w:rsidR="00F761C5" w:rsidRDefault="00F761C5" w:rsidP="00510943">
      <w:pPr>
        <w:jc w:val="both"/>
        <w:rPr>
          <w:rFonts w:ascii="Times New Roman" w:hAnsi="Times New Roman" w:cs="Times New Roman"/>
        </w:rPr>
      </w:pPr>
      <w:r>
        <w:rPr>
          <w:rFonts w:ascii="Times New Roman" w:hAnsi="Times New Roman" w:cs="Times New Roman"/>
        </w:rPr>
        <w:t>(2) Pod pojmom „vlastiti prihodi“ u smislu ove Procedure smatraju se:</w:t>
      </w:r>
    </w:p>
    <w:p w14:paraId="7DD0CBA5" w14:textId="254191F5" w:rsidR="00F761C5" w:rsidRDefault="00F761C5" w:rsidP="00F761C5">
      <w:pPr>
        <w:pStyle w:val="ListParagraph"/>
        <w:numPr>
          <w:ilvl w:val="0"/>
          <w:numId w:val="10"/>
        </w:numPr>
        <w:jc w:val="both"/>
        <w:rPr>
          <w:rFonts w:ascii="Times New Roman" w:hAnsi="Times New Roman" w:cs="Times New Roman"/>
        </w:rPr>
      </w:pPr>
      <w:r>
        <w:rPr>
          <w:rFonts w:ascii="Times New Roman" w:hAnsi="Times New Roman" w:cs="Times New Roman"/>
        </w:rPr>
        <w:t xml:space="preserve">prihodi po posebnim namjenama: školarina za učenike prirodoslovno-matematičkog programa Škole koji u skladu s odredbama zakona koji uređuje srednjoškolsko obrazovanje nisu oslobođeni plaćanja školarine, školarina za učenike </w:t>
      </w:r>
      <w:r w:rsidR="007D2B8F">
        <w:rPr>
          <w:rFonts w:ascii="Times New Roman" w:hAnsi="Times New Roman" w:cs="Times New Roman"/>
        </w:rPr>
        <w:t xml:space="preserve">međunarodnog </w:t>
      </w:r>
      <w:r>
        <w:rPr>
          <w:rFonts w:ascii="Times New Roman" w:hAnsi="Times New Roman" w:cs="Times New Roman"/>
        </w:rPr>
        <w:t xml:space="preserve">International Baccalaureate programa Škole, </w:t>
      </w:r>
      <w:proofErr w:type="spellStart"/>
      <w:r>
        <w:rPr>
          <w:rFonts w:ascii="Times New Roman" w:hAnsi="Times New Roman" w:cs="Times New Roman"/>
        </w:rPr>
        <w:t>zakasnina</w:t>
      </w:r>
      <w:proofErr w:type="spellEnd"/>
      <w:r>
        <w:rPr>
          <w:rFonts w:ascii="Times New Roman" w:hAnsi="Times New Roman" w:cs="Times New Roman"/>
        </w:rPr>
        <w:t xml:space="preserve"> za školsku knjižnicu, naknada štete učinjene na imovini Škole;</w:t>
      </w:r>
    </w:p>
    <w:p w14:paraId="73E0F018" w14:textId="47E39702" w:rsidR="00F761C5" w:rsidRDefault="00F761C5" w:rsidP="00F761C5">
      <w:pPr>
        <w:pStyle w:val="ListParagraph"/>
        <w:numPr>
          <w:ilvl w:val="0"/>
          <w:numId w:val="10"/>
        </w:numPr>
        <w:jc w:val="both"/>
        <w:rPr>
          <w:rFonts w:ascii="Times New Roman" w:hAnsi="Times New Roman" w:cs="Times New Roman"/>
        </w:rPr>
      </w:pPr>
      <w:r>
        <w:rPr>
          <w:rFonts w:ascii="Times New Roman" w:hAnsi="Times New Roman" w:cs="Times New Roman"/>
        </w:rPr>
        <w:t>prihodi od gospodarske djelatnosti/poslovanja na tržištu: zakupnina za poslovni prostor, učionice i druge prostorije.</w:t>
      </w:r>
    </w:p>
    <w:p w14:paraId="01251487" w14:textId="51C4CFB1" w:rsidR="00F761C5" w:rsidRDefault="00F761C5" w:rsidP="00F761C5">
      <w:pPr>
        <w:jc w:val="center"/>
        <w:rPr>
          <w:rFonts w:ascii="Times New Roman" w:hAnsi="Times New Roman" w:cs="Times New Roman"/>
        </w:rPr>
      </w:pPr>
    </w:p>
    <w:p w14:paraId="06608A3A" w14:textId="47F0BAC0" w:rsidR="00F761C5" w:rsidRDefault="00F761C5" w:rsidP="00F761C5">
      <w:pPr>
        <w:jc w:val="center"/>
        <w:rPr>
          <w:rFonts w:ascii="Times New Roman" w:hAnsi="Times New Roman" w:cs="Times New Roman"/>
        </w:rPr>
      </w:pPr>
      <w:r>
        <w:rPr>
          <w:rFonts w:ascii="Times New Roman" w:hAnsi="Times New Roman" w:cs="Times New Roman"/>
        </w:rPr>
        <w:t>Članak 2.</w:t>
      </w:r>
    </w:p>
    <w:p w14:paraId="79392DD7" w14:textId="200D5486" w:rsidR="00F761C5" w:rsidRDefault="00F761C5" w:rsidP="00F761C5">
      <w:pPr>
        <w:jc w:val="both"/>
        <w:rPr>
          <w:rFonts w:ascii="Times New Roman" w:hAnsi="Times New Roman" w:cs="Times New Roman"/>
        </w:rPr>
      </w:pPr>
      <w:r>
        <w:rPr>
          <w:rFonts w:ascii="Times New Roman" w:hAnsi="Times New Roman" w:cs="Times New Roman"/>
        </w:rPr>
        <w:t>(1) Prihodi iz članka 1. stavka 2. točke 1. utvrđeni su posebnim propisima, ugovorima i općim propisima Škole.</w:t>
      </w:r>
    </w:p>
    <w:p w14:paraId="3A7052F9" w14:textId="648DC294" w:rsidR="00F761C5" w:rsidRDefault="00F761C5" w:rsidP="00F761C5">
      <w:pPr>
        <w:jc w:val="both"/>
        <w:rPr>
          <w:rFonts w:ascii="Times New Roman" w:hAnsi="Times New Roman" w:cs="Times New Roman"/>
        </w:rPr>
      </w:pPr>
      <w:r>
        <w:rPr>
          <w:rFonts w:ascii="Times New Roman" w:hAnsi="Times New Roman" w:cs="Times New Roman"/>
        </w:rPr>
        <w:t xml:space="preserve">(2) Prihodi iz prethodnog stavka koriste se </w:t>
      </w:r>
      <w:r w:rsidR="007D2B8F">
        <w:rPr>
          <w:rFonts w:ascii="Times New Roman" w:hAnsi="Times New Roman" w:cs="Times New Roman"/>
        </w:rPr>
        <w:t>za namjenu za koju su i nastali: za školovanje učenika prirodoslovno-matematičkog, odnosno međunarodnog International Baccalaureate programa Škole, školsku knjižnicu, odnosno za popravljanje štete na imovini Škole. Iznimno, nakon podmirenja stvarnih materijalnih troškova namjene za koju su nastali, višak vlastitih prihoda može se utrošiti za materijalne troškove redovne djelatnosti.</w:t>
      </w:r>
    </w:p>
    <w:p w14:paraId="2D6E9CBB" w14:textId="001E7D51" w:rsidR="0055105B" w:rsidRDefault="0055105B" w:rsidP="00F761C5">
      <w:pPr>
        <w:jc w:val="both"/>
        <w:rPr>
          <w:rFonts w:ascii="Times New Roman" w:hAnsi="Times New Roman" w:cs="Times New Roman"/>
        </w:rPr>
      </w:pPr>
      <w:r>
        <w:rPr>
          <w:rFonts w:ascii="Times New Roman" w:hAnsi="Times New Roman" w:cs="Times New Roman"/>
        </w:rPr>
        <w:t>(3) Prihodi iz članka 1. stavka 2. koriste se u skladu s kriterijima utvrđenima Programom javnih potreba u srednjem odgoju i obrazovanju koji za svaku kalendarsku godinu donosi Grad Zagreb (u daljnjem tekstu: Osnivač Škole)</w:t>
      </w:r>
      <w:r w:rsidR="007103D0">
        <w:rPr>
          <w:rFonts w:ascii="Times New Roman" w:hAnsi="Times New Roman" w:cs="Times New Roman"/>
        </w:rPr>
        <w:t>, Statutom XV. gimnazije, Financijskim planom Škole, Planom nabave Škole, Godišnj</w:t>
      </w:r>
      <w:r w:rsidR="00E23146">
        <w:rPr>
          <w:rFonts w:ascii="Times New Roman" w:hAnsi="Times New Roman" w:cs="Times New Roman"/>
        </w:rPr>
        <w:t>i</w:t>
      </w:r>
      <w:r w:rsidR="007103D0">
        <w:rPr>
          <w:rFonts w:ascii="Times New Roman" w:hAnsi="Times New Roman" w:cs="Times New Roman"/>
        </w:rPr>
        <w:t>m plan</w:t>
      </w:r>
      <w:r w:rsidR="00E23146">
        <w:rPr>
          <w:rFonts w:ascii="Times New Roman" w:hAnsi="Times New Roman" w:cs="Times New Roman"/>
        </w:rPr>
        <w:t>om</w:t>
      </w:r>
      <w:r w:rsidR="007103D0">
        <w:rPr>
          <w:rFonts w:ascii="Times New Roman" w:hAnsi="Times New Roman" w:cs="Times New Roman"/>
        </w:rPr>
        <w:t xml:space="preserve"> i program</w:t>
      </w:r>
      <w:r w:rsidR="00E23146">
        <w:rPr>
          <w:rFonts w:ascii="Times New Roman" w:hAnsi="Times New Roman" w:cs="Times New Roman"/>
        </w:rPr>
        <w:t>om</w:t>
      </w:r>
      <w:r w:rsidR="007103D0">
        <w:rPr>
          <w:rFonts w:ascii="Times New Roman" w:hAnsi="Times New Roman" w:cs="Times New Roman"/>
        </w:rPr>
        <w:t xml:space="preserve"> rada Škole i drugim primjenjivim općim aktima.</w:t>
      </w:r>
    </w:p>
    <w:p w14:paraId="40C8A3D0" w14:textId="5CFE1732" w:rsidR="007103D0" w:rsidRDefault="007103D0" w:rsidP="007103D0">
      <w:pPr>
        <w:spacing w:after="0"/>
        <w:jc w:val="both"/>
        <w:rPr>
          <w:rFonts w:ascii="Times New Roman" w:hAnsi="Times New Roman" w:cs="Times New Roman"/>
        </w:rPr>
      </w:pPr>
      <w:r>
        <w:rPr>
          <w:rFonts w:ascii="Times New Roman" w:hAnsi="Times New Roman" w:cs="Times New Roman"/>
        </w:rPr>
        <w:t>(4) Redoslijed korištenja sredstava iz prethodnog stavka</w:t>
      </w:r>
      <w:r w:rsidR="009A7CB5">
        <w:rPr>
          <w:rFonts w:ascii="Times New Roman" w:hAnsi="Times New Roman" w:cs="Times New Roman"/>
        </w:rPr>
        <w:t xml:space="preserve"> ovog članka</w:t>
      </w:r>
      <w:r>
        <w:rPr>
          <w:rFonts w:ascii="Times New Roman" w:hAnsi="Times New Roman" w:cs="Times New Roman"/>
        </w:rPr>
        <w:t xml:space="preserve"> utvrđuje se na sljedeći način:</w:t>
      </w:r>
    </w:p>
    <w:p w14:paraId="124D4126" w14:textId="6B9721A8" w:rsidR="007103D0" w:rsidRDefault="007103D0" w:rsidP="007103D0">
      <w:pPr>
        <w:pStyle w:val="ListParagraph"/>
        <w:numPr>
          <w:ilvl w:val="0"/>
          <w:numId w:val="11"/>
        </w:numPr>
        <w:spacing w:after="0"/>
        <w:jc w:val="both"/>
        <w:rPr>
          <w:rFonts w:ascii="Times New Roman" w:hAnsi="Times New Roman" w:cs="Times New Roman"/>
        </w:rPr>
      </w:pPr>
      <w:r>
        <w:rPr>
          <w:rFonts w:ascii="Times New Roman" w:hAnsi="Times New Roman" w:cs="Times New Roman"/>
        </w:rPr>
        <w:t xml:space="preserve">pokriće izravnih troškova obavljanja djelatnosti Škole, </w:t>
      </w:r>
    </w:p>
    <w:p w14:paraId="024FDD42" w14:textId="77777777" w:rsidR="002A5EE1" w:rsidRDefault="007103D0" w:rsidP="007103D0">
      <w:pPr>
        <w:pStyle w:val="ListParagraph"/>
        <w:numPr>
          <w:ilvl w:val="0"/>
          <w:numId w:val="11"/>
        </w:numPr>
        <w:spacing w:after="0"/>
        <w:jc w:val="both"/>
        <w:rPr>
          <w:rFonts w:ascii="Times New Roman" w:hAnsi="Times New Roman" w:cs="Times New Roman"/>
        </w:rPr>
      </w:pPr>
      <w:r>
        <w:rPr>
          <w:rFonts w:ascii="Times New Roman" w:hAnsi="Times New Roman" w:cs="Times New Roman"/>
        </w:rPr>
        <w:t>pokriće troškova koji nisu pokriveni sredstvima iz proračuna Osnivača</w:t>
      </w:r>
      <w:r w:rsidR="00E23146">
        <w:rPr>
          <w:rFonts w:ascii="Times New Roman" w:hAnsi="Times New Roman" w:cs="Times New Roman"/>
        </w:rPr>
        <w:t xml:space="preserve"> Škole</w:t>
      </w:r>
      <w:r>
        <w:rPr>
          <w:rFonts w:ascii="Times New Roman" w:hAnsi="Times New Roman" w:cs="Times New Roman"/>
        </w:rPr>
        <w:t xml:space="preserve">, a koji se odnose na službena putovanja i stručna usavršavanja zaposlenika, uredski materijal i druge materijalne rashode, </w:t>
      </w:r>
      <w:r w:rsidR="0087782D">
        <w:rPr>
          <w:rFonts w:ascii="Times New Roman" w:hAnsi="Times New Roman" w:cs="Times New Roman"/>
        </w:rPr>
        <w:t xml:space="preserve">namjenski materijal za praktičnu nastavu s učenicima, zaštitnu i radnu odjeću i obuću, </w:t>
      </w:r>
    </w:p>
    <w:p w14:paraId="74336F7D" w14:textId="77777777" w:rsidR="002A5EE1" w:rsidRDefault="002A5EE1" w:rsidP="002A5EE1">
      <w:pPr>
        <w:pStyle w:val="ListParagraph"/>
        <w:spacing w:after="0"/>
        <w:jc w:val="both"/>
        <w:rPr>
          <w:rFonts w:ascii="Times New Roman" w:hAnsi="Times New Roman" w:cs="Times New Roman"/>
        </w:rPr>
      </w:pPr>
    </w:p>
    <w:p w14:paraId="2F52AAEC" w14:textId="77777777" w:rsidR="002A5EE1" w:rsidRDefault="002A5EE1" w:rsidP="002A5EE1">
      <w:pPr>
        <w:pStyle w:val="ListParagraph"/>
        <w:spacing w:after="0"/>
        <w:jc w:val="both"/>
        <w:rPr>
          <w:rFonts w:ascii="Times New Roman" w:hAnsi="Times New Roman" w:cs="Times New Roman"/>
        </w:rPr>
      </w:pPr>
    </w:p>
    <w:p w14:paraId="1FF31BED" w14:textId="7448FE5A" w:rsidR="007103D0" w:rsidRDefault="0087782D" w:rsidP="002A5EE1">
      <w:pPr>
        <w:pStyle w:val="ListParagraph"/>
        <w:spacing w:after="0"/>
        <w:jc w:val="both"/>
        <w:rPr>
          <w:rFonts w:ascii="Times New Roman" w:hAnsi="Times New Roman" w:cs="Times New Roman"/>
        </w:rPr>
      </w:pPr>
      <w:bookmarkStart w:id="0" w:name="_GoBack"/>
      <w:bookmarkEnd w:id="0"/>
      <w:r>
        <w:rPr>
          <w:rFonts w:ascii="Times New Roman" w:hAnsi="Times New Roman" w:cs="Times New Roman"/>
        </w:rPr>
        <w:t>telekomunikacijske i poštanske usluge, komunalne usluge, troškove posebnih zdravstvenih pregleda radi utvrđivanja zdravstvene sposobnosti za rad na poslovima s posebnim uvjetima rada koji nisu pokriveni iz sredstava Hrvatskog zavoda za zdravstveno osiguranje, troškove provođenja zaštite na radu, zašite od požara te osposobljavanja za rad na siguran način, računalne usluge, ostale usluge te ostale nespomenute rashode poslovanja i financijske rashode,</w:t>
      </w:r>
    </w:p>
    <w:p w14:paraId="57F943A3" w14:textId="43D6FE89" w:rsidR="0087782D" w:rsidRDefault="0087782D" w:rsidP="007103D0">
      <w:pPr>
        <w:pStyle w:val="ListParagraph"/>
        <w:numPr>
          <w:ilvl w:val="0"/>
          <w:numId w:val="11"/>
        </w:numPr>
        <w:spacing w:after="0"/>
        <w:jc w:val="both"/>
        <w:rPr>
          <w:rFonts w:ascii="Times New Roman" w:hAnsi="Times New Roman" w:cs="Times New Roman"/>
        </w:rPr>
      </w:pPr>
      <w:r>
        <w:rPr>
          <w:rFonts w:ascii="Times New Roman" w:hAnsi="Times New Roman" w:cs="Times New Roman"/>
        </w:rPr>
        <w:t xml:space="preserve">poboljšanje uvjeta rada Škole koji se odnose na tekuće i investicijsko održavanje, nabavu opreme, knjiga za školsku knjižnicu, namještaja, ulaganje u </w:t>
      </w:r>
      <w:r w:rsidR="0010308E">
        <w:rPr>
          <w:rFonts w:ascii="Times New Roman" w:hAnsi="Times New Roman" w:cs="Times New Roman"/>
        </w:rPr>
        <w:t>računalne i intelektualne usluge</w:t>
      </w:r>
      <w:r w:rsidR="009A7CB5">
        <w:rPr>
          <w:rFonts w:ascii="Times New Roman" w:hAnsi="Times New Roman" w:cs="Times New Roman"/>
        </w:rPr>
        <w:t xml:space="preserve"> i sl.,</w:t>
      </w:r>
    </w:p>
    <w:p w14:paraId="29EFB5EC" w14:textId="500A5996" w:rsidR="009A7CB5" w:rsidRPr="007103D0" w:rsidRDefault="009A7CB5" w:rsidP="007103D0">
      <w:pPr>
        <w:pStyle w:val="ListParagraph"/>
        <w:numPr>
          <w:ilvl w:val="0"/>
          <w:numId w:val="11"/>
        </w:numPr>
        <w:spacing w:after="0"/>
        <w:jc w:val="both"/>
        <w:rPr>
          <w:rFonts w:ascii="Times New Roman" w:hAnsi="Times New Roman" w:cs="Times New Roman"/>
        </w:rPr>
      </w:pPr>
      <w:r>
        <w:rPr>
          <w:rFonts w:ascii="Times New Roman" w:hAnsi="Times New Roman" w:cs="Times New Roman"/>
        </w:rPr>
        <w:t xml:space="preserve">u skladu s važećim propisima koji reguliraju financijsko poslovanje Škole, a temeljem prethodne odluke ravnatelja ili Školskog odbora, prihodi iz prethodnog stavka ovog članka mogu se koristiti za nagrade najboljim učenicima završnih razreda, pokrivanje troškova svečane dodjele svjedodžbi završnih razreda, promotivne aktivnosti Škole, pokrivanje troškova </w:t>
      </w:r>
      <w:r w:rsidRPr="009A7CB5">
        <w:rPr>
          <w:rFonts w:ascii="Times New Roman" w:hAnsi="Times New Roman" w:cs="Times New Roman"/>
        </w:rPr>
        <w:t>natjecanj</w:t>
      </w:r>
      <w:r>
        <w:rPr>
          <w:rFonts w:ascii="Times New Roman" w:hAnsi="Times New Roman" w:cs="Times New Roman"/>
        </w:rPr>
        <w:t>a, izvannastavnih</w:t>
      </w:r>
      <w:r w:rsidRPr="009A7CB5">
        <w:rPr>
          <w:rFonts w:ascii="Times New Roman" w:hAnsi="Times New Roman" w:cs="Times New Roman"/>
        </w:rPr>
        <w:t xml:space="preserve"> i slobodn</w:t>
      </w:r>
      <w:r>
        <w:rPr>
          <w:rFonts w:ascii="Times New Roman" w:hAnsi="Times New Roman" w:cs="Times New Roman"/>
        </w:rPr>
        <w:t>ih</w:t>
      </w:r>
      <w:r w:rsidRPr="009A7CB5">
        <w:rPr>
          <w:rFonts w:ascii="Times New Roman" w:hAnsi="Times New Roman" w:cs="Times New Roman"/>
        </w:rPr>
        <w:t xml:space="preserve"> aktivnosti učenika u raznim sportskim, umjetničkim</w:t>
      </w:r>
      <w:r>
        <w:rPr>
          <w:rFonts w:ascii="Times New Roman" w:hAnsi="Times New Roman" w:cs="Times New Roman"/>
        </w:rPr>
        <w:t xml:space="preserve"> i</w:t>
      </w:r>
      <w:r w:rsidRPr="009A7CB5">
        <w:rPr>
          <w:rFonts w:ascii="Times New Roman" w:hAnsi="Times New Roman" w:cs="Times New Roman"/>
        </w:rPr>
        <w:t xml:space="preserve"> tehničkim područjima</w:t>
      </w:r>
      <w:r>
        <w:rPr>
          <w:rFonts w:ascii="Times New Roman" w:hAnsi="Times New Roman" w:cs="Times New Roman"/>
        </w:rPr>
        <w:t>, stručne ekskurzije djelatnika, uvećanja plaće za povećani opseg posla ili zbog povećanog opterećenja uslijed rada u međunarodnom IB programu Škole, naknade za korištenje privatnog automobila za službene svrhe i ostale refundacije zaposlenicima, pokriće troškova sistematskih pregleda zaposlenika koji premašuju iznos propisan Temeljnim kolektivnim ugovorom za službenike i namještenike u javnim službama ili drugim relevantnim propisom, međunarodnu suradnju, izradu godišnjaka i digitalnog časopisa Škole, pokrivanje troškova stručnih vijeća, sastanaka školskih aktiva i drugih prigodnih svečanosti, donacije nevladinim udrugama i drugim neprofitnim organizacijama, humanitarnim organizacijama, zakladama i sportskim društvima, te pokrivanje dijelova troškova EU projekata u kojima Škola sudjeluje kao nositelj ili partner na projektu, i druge nespomenute troškove u skladu s odlukama tijela Škole.</w:t>
      </w:r>
    </w:p>
    <w:p w14:paraId="3125BD16" w14:textId="77777777" w:rsidR="007103D0" w:rsidRDefault="007103D0" w:rsidP="00F761C5">
      <w:pPr>
        <w:jc w:val="both"/>
        <w:rPr>
          <w:rFonts w:ascii="Times New Roman" w:hAnsi="Times New Roman" w:cs="Times New Roman"/>
        </w:rPr>
      </w:pPr>
    </w:p>
    <w:p w14:paraId="2F076BD9" w14:textId="1F7329C9" w:rsidR="00510943" w:rsidRDefault="00510943" w:rsidP="00510943">
      <w:pPr>
        <w:jc w:val="center"/>
        <w:rPr>
          <w:rFonts w:ascii="Times New Roman" w:hAnsi="Times New Roman" w:cs="Times New Roman"/>
        </w:rPr>
      </w:pPr>
      <w:r>
        <w:rPr>
          <w:rFonts w:ascii="Times New Roman" w:hAnsi="Times New Roman" w:cs="Times New Roman"/>
        </w:rPr>
        <w:t>Članak 3.</w:t>
      </w:r>
    </w:p>
    <w:p w14:paraId="18E42FF5" w14:textId="5BB98E4B" w:rsidR="00BB390B" w:rsidRDefault="00BB390B" w:rsidP="00510943">
      <w:pPr>
        <w:jc w:val="both"/>
        <w:rPr>
          <w:rFonts w:ascii="Times New Roman" w:hAnsi="Times New Roman" w:cs="Times New Roman"/>
        </w:rPr>
      </w:pPr>
      <w:r>
        <w:rPr>
          <w:rFonts w:ascii="Times New Roman" w:hAnsi="Times New Roman" w:cs="Times New Roman"/>
        </w:rPr>
        <w:t>Ova Procedura bit će objavljena na oglasnoj ploči i web-stranicama Škole.</w:t>
      </w:r>
    </w:p>
    <w:p w14:paraId="4AC12DC9" w14:textId="55938F10" w:rsidR="00510943" w:rsidRDefault="00BB390B" w:rsidP="00510943">
      <w:pPr>
        <w:jc w:val="both"/>
        <w:rPr>
          <w:rFonts w:ascii="Times New Roman" w:hAnsi="Times New Roman" w:cs="Times New Roman"/>
        </w:rPr>
      </w:pPr>
      <w:r>
        <w:rPr>
          <w:rFonts w:ascii="Times New Roman" w:hAnsi="Times New Roman" w:cs="Times New Roman"/>
        </w:rPr>
        <w:t>Ova Procedura stupa na snagu i primjenjuje se od dana donošenja.</w:t>
      </w:r>
    </w:p>
    <w:p w14:paraId="3F1A441A" w14:textId="77777777" w:rsidR="00510943" w:rsidRPr="00BB390B" w:rsidRDefault="00510943" w:rsidP="00510943">
      <w:pPr>
        <w:jc w:val="both"/>
        <w:rPr>
          <w:rFonts w:ascii="Times New Roman" w:hAnsi="Times New Roman" w:cs="Times New Roman"/>
        </w:rPr>
      </w:pPr>
    </w:p>
    <w:p w14:paraId="5A19D201" w14:textId="174DFD22" w:rsidR="00510943" w:rsidRPr="00BB390B" w:rsidRDefault="00510943" w:rsidP="00510943">
      <w:pPr>
        <w:pStyle w:val="paragraph"/>
        <w:spacing w:before="0" w:beforeAutospacing="0" w:after="0" w:afterAutospacing="0"/>
        <w:jc w:val="both"/>
        <w:textAlignment w:val="baseline"/>
        <w:rPr>
          <w:rFonts w:eastAsiaTheme="minorHAnsi"/>
          <w:sz w:val="22"/>
          <w:szCs w:val="22"/>
          <w:lang w:eastAsia="en-US"/>
        </w:rPr>
      </w:pPr>
      <w:r w:rsidRPr="00BB390B">
        <w:rPr>
          <w:rFonts w:eastAsiaTheme="minorHAnsi"/>
          <w:sz w:val="22"/>
          <w:szCs w:val="22"/>
          <w:lang w:eastAsia="en-US"/>
        </w:rPr>
        <w:t>KLASA: 007-</w:t>
      </w:r>
      <w:r w:rsidR="00114091">
        <w:rPr>
          <w:rFonts w:eastAsiaTheme="minorHAnsi"/>
          <w:sz w:val="22"/>
          <w:szCs w:val="22"/>
          <w:lang w:eastAsia="en-US"/>
        </w:rPr>
        <w:t>01/22-02/04</w:t>
      </w:r>
    </w:p>
    <w:p w14:paraId="2B9A4FC0" w14:textId="38B2D036" w:rsidR="00510943" w:rsidRPr="00BB390B" w:rsidRDefault="00510943" w:rsidP="00510943">
      <w:pPr>
        <w:pStyle w:val="paragraph"/>
        <w:spacing w:before="0" w:beforeAutospacing="0" w:after="0" w:afterAutospacing="0"/>
        <w:jc w:val="both"/>
        <w:textAlignment w:val="baseline"/>
        <w:rPr>
          <w:rFonts w:eastAsiaTheme="minorHAnsi"/>
          <w:sz w:val="22"/>
          <w:szCs w:val="22"/>
          <w:lang w:eastAsia="en-US"/>
        </w:rPr>
      </w:pPr>
      <w:r w:rsidRPr="00BB390B">
        <w:rPr>
          <w:rFonts w:eastAsiaTheme="minorHAnsi"/>
          <w:sz w:val="22"/>
          <w:szCs w:val="22"/>
          <w:lang w:eastAsia="en-US"/>
        </w:rPr>
        <w:t>URBROJ:  251-94-08-22-</w:t>
      </w:r>
      <w:r w:rsidR="00114091">
        <w:rPr>
          <w:rFonts w:eastAsiaTheme="minorHAnsi"/>
          <w:sz w:val="22"/>
          <w:szCs w:val="22"/>
          <w:lang w:eastAsia="en-US"/>
        </w:rPr>
        <w:t>1</w:t>
      </w:r>
    </w:p>
    <w:p w14:paraId="59F234FE" w14:textId="30428002" w:rsidR="00510943" w:rsidRPr="00BB390B" w:rsidRDefault="00510943" w:rsidP="00510943">
      <w:pPr>
        <w:pStyle w:val="paragraph"/>
        <w:spacing w:before="0" w:beforeAutospacing="0" w:after="0" w:afterAutospacing="0"/>
        <w:jc w:val="both"/>
        <w:textAlignment w:val="baseline"/>
        <w:rPr>
          <w:rFonts w:eastAsiaTheme="minorHAnsi"/>
          <w:sz w:val="22"/>
          <w:szCs w:val="22"/>
          <w:lang w:eastAsia="en-US"/>
        </w:rPr>
      </w:pPr>
      <w:r w:rsidRPr="00BB390B">
        <w:rPr>
          <w:rFonts w:eastAsiaTheme="minorHAnsi"/>
          <w:sz w:val="22"/>
          <w:szCs w:val="22"/>
          <w:lang w:eastAsia="en-US"/>
        </w:rPr>
        <w:t xml:space="preserve">U Zagrebu, </w:t>
      </w:r>
      <w:r w:rsidR="00BB390B">
        <w:rPr>
          <w:rFonts w:eastAsiaTheme="minorHAnsi"/>
          <w:sz w:val="22"/>
          <w:szCs w:val="22"/>
          <w:lang w:eastAsia="en-US"/>
        </w:rPr>
        <w:t>30. lipnja</w:t>
      </w:r>
      <w:r w:rsidRPr="00BB390B">
        <w:rPr>
          <w:rFonts w:eastAsiaTheme="minorHAnsi"/>
          <w:sz w:val="22"/>
          <w:szCs w:val="22"/>
          <w:lang w:eastAsia="en-US"/>
        </w:rPr>
        <w:t xml:space="preserve"> 2022. </w:t>
      </w:r>
    </w:p>
    <w:p w14:paraId="3BE7CF9D" w14:textId="77777777" w:rsidR="00510943" w:rsidRPr="00BB390B" w:rsidRDefault="00510943" w:rsidP="00510943">
      <w:pPr>
        <w:jc w:val="right"/>
        <w:rPr>
          <w:rFonts w:ascii="Times New Roman" w:hAnsi="Times New Roman" w:cs="Times New Roman"/>
        </w:rPr>
      </w:pPr>
    </w:p>
    <w:p w14:paraId="2BB9B632" w14:textId="30E58CD8" w:rsidR="002F05D4" w:rsidRDefault="00510943" w:rsidP="00ED5002">
      <w:pPr>
        <w:spacing w:after="0"/>
        <w:ind w:left="5529"/>
        <w:jc w:val="center"/>
        <w:rPr>
          <w:rFonts w:ascii="Times New Roman" w:hAnsi="Times New Roman" w:cs="Times New Roman"/>
        </w:rPr>
      </w:pPr>
      <w:r w:rsidRPr="00BB390B">
        <w:rPr>
          <w:rFonts w:ascii="Times New Roman" w:hAnsi="Times New Roman" w:cs="Times New Roman"/>
        </w:rPr>
        <w:t>PREDSJEDNICA</w:t>
      </w:r>
    </w:p>
    <w:p w14:paraId="47147D9F" w14:textId="2E5C7322" w:rsidR="00510943" w:rsidRDefault="00510943" w:rsidP="00ED5002">
      <w:pPr>
        <w:spacing w:after="0"/>
        <w:ind w:left="5529"/>
        <w:jc w:val="center"/>
        <w:rPr>
          <w:rFonts w:ascii="Times New Roman" w:hAnsi="Times New Roman" w:cs="Times New Roman"/>
        </w:rPr>
      </w:pPr>
      <w:r w:rsidRPr="00BB390B">
        <w:rPr>
          <w:rFonts w:ascii="Times New Roman" w:hAnsi="Times New Roman" w:cs="Times New Roman"/>
        </w:rPr>
        <w:t>ŠKOLSKOG ODBORA</w:t>
      </w:r>
    </w:p>
    <w:p w14:paraId="5B3212C1" w14:textId="715905FE" w:rsidR="00510943" w:rsidRPr="00BB390B" w:rsidRDefault="00510943" w:rsidP="00ED5002">
      <w:pPr>
        <w:spacing w:after="0"/>
        <w:ind w:left="5529" w:firstLine="708"/>
        <w:rPr>
          <w:rFonts w:ascii="Times New Roman" w:hAnsi="Times New Roman" w:cs="Times New Roman"/>
        </w:rPr>
      </w:pPr>
      <w:r w:rsidRPr="00BB390B">
        <w:rPr>
          <w:rFonts w:ascii="Times New Roman" w:hAnsi="Times New Roman" w:cs="Times New Roman"/>
        </w:rPr>
        <w:t>Marina Bilić, dipl. ing.</w:t>
      </w:r>
    </w:p>
    <w:p w14:paraId="2B064BFC" w14:textId="0235A286" w:rsidR="00510943" w:rsidRDefault="00510943" w:rsidP="00510943">
      <w:pPr>
        <w:ind w:left="2832" w:firstLine="708"/>
        <w:jc w:val="center"/>
        <w:rPr>
          <w:rFonts w:ascii="Times New Roman" w:hAnsi="Times New Roman" w:cs="Times New Roman"/>
          <w:sz w:val="24"/>
          <w:szCs w:val="24"/>
        </w:rPr>
      </w:pPr>
    </w:p>
    <w:p w14:paraId="5EA8A154" w14:textId="77777777" w:rsidR="00BB390B" w:rsidRPr="00EE66FD" w:rsidRDefault="00BB390B" w:rsidP="00510943">
      <w:pPr>
        <w:ind w:left="2832" w:firstLine="708"/>
        <w:jc w:val="center"/>
        <w:rPr>
          <w:rFonts w:ascii="Times New Roman" w:hAnsi="Times New Roman" w:cs="Times New Roman"/>
          <w:sz w:val="24"/>
          <w:szCs w:val="24"/>
        </w:rPr>
      </w:pPr>
    </w:p>
    <w:p w14:paraId="4312D09F" w14:textId="1C74AE1A" w:rsidR="00510943" w:rsidRPr="00F4193F" w:rsidRDefault="00510943" w:rsidP="00510943">
      <w:pPr>
        <w:jc w:val="both"/>
        <w:rPr>
          <w:szCs w:val="24"/>
        </w:rPr>
      </w:pPr>
      <w:r w:rsidRPr="00F4193F">
        <w:rPr>
          <w:rFonts w:ascii="Times New Roman" w:hAnsi="Times New Roman" w:cs="Times New Roman"/>
          <w:szCs w:val="24"/>
        </w:rPr>
        <w:t xml:space="preserve">Pravilnik je objavljen na oglasnoj ploči </w:t>
      </w:r>
      <w:r w:rsidR="00F4193F" w:rsidRPr="00F4193F">
        <w:rPr>
          <w:rFonts w:ascii="Times New Roman" w:hAnsi="Times New Roman" w:cs="Times New Roman"/>
          <w:szCs w:val="24"/>
        </w:rPr>
        <w:t xml:space="preserve">Škole </w:t>
      </w:r>
      <w:r w:rsidR="00F4193F">
        <w:rPr>
          <w:rFonts w:ascii="Times New Roman" w:hAnsi="Times New Roman" w:cs="Times New Roman"/>
          <w:szCs w:val="24"/>
        </w:rPr>
        <w:t xml:space="preserve">i stupio je na snagu </w:t>
      </w:r>
      <w:r w:rsidRPr="00F4193F">
        <w:rPr>
          <w:rFonts w:ascii="Times New Roman" w:hAnsi="Times New Roman" w:cs="Times New Roman"/>
          <w:szCs w:val="24"/>
        </w:rPr>
        <w:t xml:space="preserve">dana </w:t>
      </w:r>
      <w:r w:rsidR="00ED5002">
        <w:rPr>
          <w:rFonts w:ascii="Times New Roman" w:hAnsi="Times New Roman" w:cs="Times New Roman"/>
          <w:szCs w:val="24"/>
        </w:rPr>
        <w:t>30. lipnja 2022</w:t>
      </w:r>
      <w:r w:rsidRPr="00F4193F">
        <w:rPr>
          <w:rFonts w:ascii="Times New Roman" w:hAnsi="Times New Roman" w:cs="Times New Roman"/>
          <w:szCs w:val="24"/>
        </w:rPr>
        <w:t xml:space="preserve">. </w:t>
      </w:r>
      <w:r w:rsidR="00F4193F">
        <w:rPr>
          <w:rFonts w:ascii="Times New Roman" w:hAnsi="Times New Roman" w:cs="Times New Roman"/>
          <w:szCs w:val="24"/>
        </w:rPr>
        <w:t>g</w:t>
      </w:r>
      <w:r w:rsidRPr="00F4193F">
        <w:rPr>
          <w:rFonts w:ascii="Times New Roman" w:hAnsi="Times New Roman" w:cs="Times New Roman"/>
          <w:szCs w:val="24"/>
        </w:rPr>
        <w:t>odine</w:t>
      </w:r>
      <w:r w:rsidR="00F4193F">
        <w:rPr>
          <w:rFonts w:ascii="Times New Roman" w:hAnsi="Times New Roman" w:cs="Times New Roman"/>
          <w:szCs w:val="24"/>
        </w:rPr>
        <w:t>.</w:t>
      </w:r>
    </w:p>
    <w:p w14:paraId="43DA2A58" w14:textId="77777777" w:rsidR="00510943" w:rsidRPr="00F4193F" w:rsidRDefault="00510943" w:rsidP="00510943">
      <w:pPr>
        <w:pStyle w:val="paragraph"/>
        <w:spacing w:before="0" w:beforeAutospacing="0" w:after="0" w:afterAutospacing="0"/>
        <w:ind w:left="4956" w:firstLine="708"/>
        <w:textAlignment w:val="baseline"/>
        <w:rPr>
          <w:rFonts w:eastAsiaTheme="minorHAnsi"/>
          <w:sz w:val="22"/>
          <w:lang w:eastAsia="en-US"/>
        </w:rPr>
      </w:pPr>
    </w:p>
    <w:p w14:paraId="23974FDB" w14:textId="77777777" w:rsidR="00510943" w:rsidRPr="00F4193F" w:rsidRDefault="00510943" w:rsidP="00510943">
      <w:pPr>
        <w:pStyle w:val="paragraph"/>
        <w:spacing w:before="0" w:beforeAutospacing="0" w:after="0" w:afterAutospacing="0"/>
        <w:ind w:left="4956" w:firstLine="708"/>
        <w:textAlignment w:val="baseline"/>
        <w:rPr>
          <w:rFonts w:eastAsiaTheme="minorHAnsi"/>
          <w:sz w:val="22"/>
          <w:lang w:eastAsia="en-US"/>
        </w:rPr>
      </w:pPr>
    </w:p>
    <w:p w14:paraId="7EDF4EE2" w14:textId="77777777" w:rsidR="00510943" w:rsidRPr="00F4193F" w:rsidRDefault="00510943" w:rsidP="00ED5002">
      <w:pPr>
        <w:pStyle w:val="paragraph"/>
        <w:spacing w:before="0" w:beforeAutospacing="0" w:after="0" w:afterAutospacing="0"/>
        <w:ind w:left="5529"/>
        <w:jc w:val="center"/>
        <w:textAlignment w:val="baseline"/>
        <w:rPr>
          <w:rFonts w:eastAsiaTheme="minorHAnsi"/>
          <w:sz w:val="22"/>
          <w:lang w:eastAsia="en-US"/>
        </w:rPr>
      </w:pPr>
      <w:r w:rsidRPr="00F4193F">
        <w:rPr>
          <w:rFonts w:eastAsiaTheme="minorHAnsi"/>
          <w:sz w:val="22"/>
          <w:lang w:eastAsia="en-US"/>
        </w:rPr>
        <w:t>RAVNATELJ</w:t>
      </w:r>
    </w:p>
    <w:p w14:paraId="35A3AE7B" w14:textId="7926CBEC" w:rsidR="00510943" w:rsidRPr="00F4193F" w:rsidRDefault="00510943" w:rsidP="00ED5002">
      <w:pPr>
        <w:pStyle w:val="NoSpacing"/>
        <w:tabs>
          <w:tab w:val="right" w:pos="8789"/>
        </w:tabs>
        <w:ind w:left="5529"/>
        <w:jc w:val="center"/>
        <w:rPr>
          <w:rFonts w:ascii="Garamond" w:hAnsi="Garamond"/>
          <w:szCs w:val="24"/>
        </w:rPr>
      </w:pPr>
      <w:r w:rsidRPr="00F4193F">
        <w:rPr>
          <w:rFonts w:ascii="Times New Roman" w:hAnsi="Times New Roman" w:cs="Times New Roman"/>
          <w:szCs w:val="24"/>
        </w:rPr>
        <w:t>Nikola Dmitrović,</w:t>
      </w:r>
      <w:r w:rsidR="00F4193F">
        <w:rPr>
          <w:rFonts w:ascii="Times New Roman" w:hAnsi="Times New Roman" w:cs="Times New Roman"/>
          <w:szCs w:val="24"/>
        </w:rPr>
        <w:t xml:space="preserve"> prof.</w:t>
      </w:r>
    </w:p>
    <w:sectPr w:rsidR="00510943" w:rsidRPr="00F4193F" w:rsidSect="002A5EE1">
      <w:pgSz w:w="11906" w:h="16838"/>
      <w:pgMar w:top="567" w:right="1417" w:bottom="1135" w:left="141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E4E78" w14:textId="77777777" w:rsidR="005918C5" w:rsidRDefault="005918C5" w:rsidP="00114091">
      <w:pPr>
        <w:spacing w:after="0" w:line="240" w:lineRule="auto"/>
      </w:pPr>
      <w:r>
        <w:separator/>
      </w:r>
    </w:p>
  </w:endnote>
  <w:endnote w:type="continuationSeparator" w:id="0">
    <w:p w14:paraId="69BC0EDB" w14:textId="77777777" w:rsidR="005918C5" w:rsidRDefault="005918C5" w:rsidP="00114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1361" w14:textId="77777777" w:rsidR="005918C5" w:rsidRDefault="005918C5" w:rsidP="00114091">
      <w:pPr>
        <w:spacing w:after="0" w:line="240" w:lineRule="auto"/>
      </w:pPr>
      <w:r>
        <w:separator/>
      </w:r>
    </w:p>
  </w:footnote>
  <w:footnote w:type="continuationSeparator" w:id="0">
    <w:p w14:paraId="06C5DB4A" w14:textId="77777777" w:rsidR="005918C5" w:rsidRDefault="005918C5" w:rsidP="00114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A35"/>
    <w:multiLevelType w:val="hybridMultilevel"/>
    <w:tmpl w:val="8BD4EBC4"/>
    <w:lvl w:ilvl="0" w:tplc="0932428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D6641A9"/>
    <w:multiLevelType w:val="hybridMultilevel"/>
    <w:tmpl w:val="85CA1980"/>
    <w:lvl w:ilvl="0" w:tplc="6E72A0E6">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67531C"/>
    <w:multiLevelType w:val="hybridMultilevel"/>
    <w:tmpl w:val="DFB496AA"/>
    <w:lvl w:ilvl="0" w:tplc="24F6484C">
      <w:start w:val="2"/>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198B1BF7"/>
    <w:multiLevelType w:val="hybridMultilevel"/>
    <w:tmpl w:val="F1307D6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5184CD9"/>
    <w:multiLevelType w:val="hybridMultilevel"/>
    <w:tmpl w:val="F03494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BE90E92"/>
    <w:multiLevelType w:val="hybridMultilevel"/>
    <w:tmpl w:val="ABBE3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D4A0948"/>
    <w:multiLevelType w:val="hybridMultilevel"/>
    <w:tmpl w:val="8282127A"/>
    <w:lvl w:ilvl="0" w:tplc="041A000B">
      <w:start w:val="1"/>
      <w:numFmt w:val="bullet"/>
      <w:lvlText w:val=""/>
      <w:lvlJc w:val="left"/>
      <w:pPr>
        <w:ind w:left="1845" w:hanging="360"/>
      </w:pPr>
      <w:rPr>
        <w:rFonts w:ascii="Wingdings" w:hAnsi="Wingdings" w:hint="default"/>
      </w:rPr>
    </w:lvl>
    <w:lvl w:ilvl="1" w:tplc="041A0003" w:tentative="1">
      <w:start w:val="1"/>
      <w:numFmt w:val="bullet"/>
      <w:lvlText w:val="o"/>
      <w:lvlJc w:val="left"/>
      <w:pPr>
        <w:ind w:left="2565" w:hanging="360"/>
      </w:pPr>
      <w:rPr>
        <w:rFonts w:ascii="Courier New" w:hAnsi="Courier New" w:cs="Courier New" w:hint="default"/>
      </w:rPr>
    </w:lvl>
    <w:lvl w:ilvl="2" w:tplc="041A0005" w:tentative="1">
      <w:start w:val="1"/>
      <w:numFmt w:val="bullet"/>
      <w:lvlText w:val=""/>
      <w:lvlJc w:val="left"/>
      <w:pPr>
        <w:ind w:left="3285" w:hanging="360"/>
      </w:pPr>
      <w:rPr>
        <w:rFonts w:ascii="Wingdings" w:hAnsi="Wingdings" w:hint="default"/>
      </w:rPr>
    </w:lvl>
    <w:lvl w:ilvl="3" w:tplc="041A0001" w:tentative="1">
      <w:start w:val="1"/>
      <w:numFmt w:val="bullet"/>
      <w:lvlText w:val=""/>
      <w:lvlJc w:val="left"/>
      <w:pPr>
        <w:ind w:left="4005" w:hanging="360"/>
      </w:pPr>
      <w:rPr>
        <w:rFonts w:ascii="Symbol" w:hAnsi="Symbol" w:hint="default"/>
      </w:rPr>
    </w:lvl>
    <w:lvl w:ilvl="4" w:tplc="041A0003" w:tentative="1">
      <w:start w:val="1"/>
      <w:numFmt w:val="bullet"/>
      <w:lvlText w:val="o"/>
      <w:lvlJc w:val="left"/>
      <w:pPr>
        <w:ind w:left="4725" w:hanging="360"/>
      </w:pPr>
      <w:rPr>
        <w:rFonts w:ascii="Courier New" w:hAnsi="Courier New" w:cs="Courier New" w:hint="default"/>
      </w:rPr>
    </w:lvl>
    <w:lvl w:ilvl="5" w:tplc="041A0005" w:tentative="1">
      <w:start w:val="1"/>
      <w:numFmt w:val="bullet"/>
      <w:lvlText w:val=""/>
      <w:lvlJc w:val="left"/>
      <w:pPr>
        <w:ind w:left="5445" w:hanging="360"/>
      </w:pPr>
      <w:rPr>
        <w:rFonts w:ascii="Wingdings" w:hAnsi="Wingdings" w:hint="default"/>
      </w:rPr>
    </w:lvl>
    <w:lvl w:ilvl="6" w:tplc="041A0001" w:tentative="1">
      <w:start w:val="1"/>
      <w:numFmt w:val="bullet"/>
      <w:lvlText w:val=""/>
      <w:lvlJc w:val="left"/>
      <w:pPr>
        <w:ind w:left="6165" w:hanging="360"/>
      </w:pPr>
      <w:rPr>
        <w:rFonts w:ascii="Symbol" w:hAnsi="Symbol" w:hint="default"/>
      </w:rPr>
    </w:lvl>
    <w:lvl w:ilvl="7" w:tplc="041A0003" w:tentative="1">
      <w:start w:val="1"/>
      <w:numFmt w:val="bullet"/>
      <w:lvlText w:val="o"/>
      <w:lvlJc w:val="left"/>
      <w:pPr>
        <w:ind w:left="6885" w:hanging="360"/>
      </w:pPr>
      <w:rPr>
        <w:rFonts w:ascii="Courier New" w:hAnsi="Courier New" w:cs="Courier New" w:hint="default"/>
      </w:rPr>
    </w:lvl>
    <w:lvl w:ilvl="8" w:tplc="041A0005" w:tentative="1">
      <w:start w:val="1"/>
      <w:numFmt w:val="bullet"/>
      <w:lvlText w:val=""/>
      <w:lvlJc w:val="left"/>
      <w:pPr>
        <w:ind w:left="7605" w:hanging="360"/>
      </w:pPr>
      <w:rPr>
        <w:rFonts w:ascii="Wingdings" w:hAnsi="Wingdings" w:hint="default"/>
      </w:rPr>
    </w:lvl>
  </w:abstractNum>
  <w:abstractNum w:abstractNumId="7" w15:restartNumberingAfterBreak="0">
    <w:nsid w:val="573604EB"/>
    <w:multiLevelType w:val="hybridMultilevel"/>
    <w:tmpl w:val="A2F657E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59E56392"/>
    <w:multiLevelType w:val="hybridMultilevel"/>
    <w:tmpl w:val="21365EC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280189C"/>
    <w:multiLevelType w:val="hybridMultilevel"/>
    <w:tmpl w:val="FE8615D0"/>
    <w:lvl w:ilvl="0" w:tplc="F9EA102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CE741C"/>
    <w:multiLevelType w:val="hybridMultilevel"/>
    <w:tmpl w:val="E72C26DC"/>
    <w:lvl w:ilvl="0" w:tplc="5D424072">
      <w:start w:val="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10"/>
  </w:num>
  <w:num w:numId="6">
    <w:abstractNumId w:val="2"/>
  </w:num>
  <w:num w:numId="7">
    <w:abstractNumId w:val="6"/>
  </w:num>
  <w:num w:numId="8">
    <w:abstractNumId w:val="9"/>
  </w:num>
  <w:num w:numId="9">
    <w:abstractNumId w:val="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06"/>
    <w:rsid w:val="00032D15"/>
    <w:rsid w:val="00055011"/>
    <w:rsid w:val="00065E5C"/>
    <w:rsid w:val="000E7639"/>
    <w:rsid w:val="0010308E"/>
    <w:rsid w:val="00114091"/>
    <w:rsid w:val="001445B7"/>
    <w:rsid w:val="00197E46"/>
    <w:rsid w:val="001B2E06"/>
    <w:rsid w:val="001E1729"/>
    <w:rsid w:val="001F6553"/>
    <w:rsid w:val="00282157"/>
    <w:rsid w:val="002A5EE1"/>
    <w:rsid w:val="002E581F"/>
    <w:rsid w:val="002F05D4"/>
    <w:rsid w:val="003B3C68"/>
    <w:rsid w:val="004216E3"/>
    <w:rsid w:val="004D1741"/>
    <w:rsid w:val="00503A7D"/>
    <w:rsid w:val="00510943"/>
    <w:rsid w:val="0052759D"/>
    <w:rsid w:val="0055105B"/>
    <w:rsid w:val="00562C02"/>
    <w:rsid w:val="005918C5"/>
    <w:rsid w:val="005C0E57"/>
    <w:rsid w:val="005F7A54"/>
    <w:rsid w:val="00621593"/>
    <w:rsid w:val="00632B91"/>
    <w:rsid w:val="00687FD3"/>
    <w:rsid w:val="006C191E"/>
    <w:rsid w:val="006C1BE6"/>
    <w:rsid w:val="006E7E98"/>
    <w:rsid w:val="006F6440"/>
    <w:rsid w:val="007103D0"/>
    <w:rsid w:val="0076638F"/>
    <w:rsid w:val="0078549C"/>
    <w:rsid w:val="007977F4"/>
    <w:rsid w:val="007A0D1B"/>
    <w:rsid w:val="007A64CB"/>
    <w:rsid w:val="007C3FFF"/>
    <w:rsid w:val="007D2B8F"/>
    <w:rsid w:val="0087782D"/>
    <w:rsid w:val="00882FDC"/>
    <w:rsid w:val="00907B31"/>
    <w:rsid w:val="00956B7E"/>
    <w:rsid w:val="009A7CB5"/>
    <w:rsid w:val="00A85A1F"/>
    <w:rsid w:val="00AC78B1"/>
    <w:rsid w:val="00B664E7"/>
    <w:rsid w:val="00BB2C7C"/>
    <w:rsid w:val="00BB390B"/>
    <w:rsid w:val="00C3023C"/>
    <w:rsid w:val="00CA22A1"/>
    <w:rsid w:val="00CB6181"/>
    <w:rsid w:val="00DF5ED8"/>
    <w:rsid w:val="00E1494A"/>
    <w:rsid w:val="00E23146"/>
    <w:rsid w:val="00E86729"/>
    <w:rsid w:val="00ED5002"/>
    <w:rsid w:val="00F4193F"/>
    <w:rsid w:val="00F761C5"/>
    <w:rsid w:val="00FA12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3BAA6"/>
  <w15:docId w15:val="{0D4DB8F2-0D93-44B7-BE2C-A855E8F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2E06"/>
    <w:pPr>
      <w:spacing w:after="0" w:line="240" w:lineRule="auto"/>
    </w:pPr>
  </w:style>
  <w:style w:type="paragraph" w:styleId="ListParagraph">
    <w:name w:val="List Paragraph"/>
    <w:basedOn w:val="Normal"/>
    <w:uiPriority w:val="34"/>
    <w:qFormat/>
    <w:rsid w:val="00510943"/>
    <w:pPr>
      <w:spacing w:after="160" w:line="259" w:lineRule="auto"/>
      <w:ind w:left="720"/>
      <w:contextualSpacing/>
    </w:pPr>
  </w:style>
  <w:style w:type="paragraph" w:customStyle="1" w:styleId="paragraph">
    <w:name w:val="paragraph"/>
    <w:basedOn w:val="Normal"/>
    <w:rsid w:val="0051094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1140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4091"/>
  </w:style>
  <w:style w:type="paragraph" w:styleId="Footer">
    <w:name w:val="footer"/>
    <w:basedOn w:val="Normal"/>
    <w:link w:val="FooterChar"/>
    <w:uiPriority w:val="99"/>
    <w:unhideWhenUsed/>
    <w:rsid w:val="001140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091"/>
  </w:style>
  <w:style w:type="table" w:styleId="TableGrid">
    <w:name w:val="Table Grid"/>
    <w:basedOn w:val="TableNormal"/>
    <w:uiPriority w:val="59"/>
    <w:rsid w:val="002A5E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4" ma:contentTypeDescription="Stvaranje novog dokumenta." ma:contentTypeScope="" ma:versionID="dce77753c674de44c1f5fcb971062c7b">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5d89b194fe9e24c4dd7cea689e820967"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FC45A-162B-4032-8DCD-5CA4829E9529}">
  <ds:schemaRefs>
    <ds:schemaRef ds:uri="http://schemas.microsoft.com/sharepoint/v3/contenttype/forms"/>
  </ds:schemaRefs>
</ds:datastoreItem>
</file>

<file path=customXml/itemProps2.xml><?xml version="1.0" encoding="utf-8"?>
<ds:datastoreItem xmlns:ds="http://schemas.openxmlformats.org/officeDocument/2006/customXml" ds:itemID="{A7000C2E-7DC6-4508-B70C-E63079C97072}">
  <ds:schemaRefs>
    <ds:schemaRef ds:uri="http://schemas.openxmlformats.org/package/2006/metadata/core-properties"/>
    <ds:schemaRef ds:uri="http://purl.org/dc/dcmitype/"/>
    <ds:schemaRef ds:uri="http://purl.org/dc/elements/1.1/"/>
    <ds:schemaRef ds:uri="http://schemas.microsoft.com/office/infopath/2007/PartnerControls"/>
    <ds:schemaRef ds:uri="e63f7203-675c-42d8-97de-749724be3d9b"/>
    <ds:schemaRef ds:uri="http://schemas.microsoft.com/office/2006/documentManagement/types"/>
    <ds:schemaRef ds:uri="http://www.w3.org/XML/1998/namespace"/>
    <ds:schemaRef ds:uri="dca18350-ba64-4a63-885e-c867f46a547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A818FBD-A0F9-428A-BBB7-883904812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Matošević</dc:creator>
  <cp:lastModifiedBy>Antonio Matošević</cp:lastModifiedBy>
  <cp:revision>11</cp:revision>
  <cp:lastPrinted>2023-05-08T13:01:00Z</cp:lastPrinted>
  <dcterms:created xsi:type="dcterms:W3CDTF">2022-06-21T12:21:00Z</dcterms:created>
  <dcterms:modified xsi:type="dcterms:W3CDTF">2023-05-08T13:02:00Z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